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DCA0" w14:textId="77777777" w:rsidR="000C739D" w:rsidRPr="000C739D" w:rsidRDefault="000C739D" w:rsidP="00613B9E">
      <w:pPr>
        <w:shd w:val="clear" w:color="auto" w:fill="FFFFFF"/>
        <w:spacing w:after="0" w:line="240" w:lineRule="auto"/>
        <w:ind w:left="357"/>
        <w:jc w:val="center"/>
        <w:outlineLvl w:val="3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</w:pPr>
      <w:r w:rsidRPr="000C739D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>Regulamin obowiązujący na zajęciach laboratoryjnych z Biochemii</w:t>
      </w:r>
    </w:p>
    <w:p w14:paraId="2417C6B6" w14:textId="77777777" w:rsidR="000C739D" w:rsidRPr="000C739D" w:rsidRDefault="000C739D" w:rsidP="00613B9E">
      <w:pPr>
        <w:shd w:val="clear" w:color="auto" w:fill="FFFFFF"/>
        <w:spacing w:after="0" w:line="240" w:lineRule="auto"/>
        <w:ind w:left="357"/>
        <w:jc w:val="center"/>
        <w:outlineLvl w:val="3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</w:pPr>
      <w:r w:rsidRPr="000C739D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>w Zakładzie Biochemii Farmaceutycznej</w:t>
      </w:r>
    </w:p>
    <w:p w14:paraId="3F2EECC3" w14:textId="77777777" w:rsidR="000C739D" w:rsidRPr="000C739D" w:rsidRDefault="000C739D" w:rsidP="00613B9E">
      <w:pPr>
        <w:shd w:val="clear" w:color="auto" w:fill="FFFFFF"/>
        <w:spacing w:after="0" w:line="240" w:lineRule="auto"/>
        <w:ind w:left="357"/>
        <w:jc w:val="center"/>
        <w:outlineLvl w:val="3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</w:pPr>
      <w:r w:rsidRPr="000C739D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>Uniwersytetu Medycznego w Białymstoku</w:t>
      </w:r>
    </w:p>
    <w:p w14:paraId="063DDAF9" w14:textId="77777777" w:rsidR="006F7EFA" w:rsidRPr="009005DC" w:rsidRDefault="006F7EFA" w:rsidP="00613B9E">
      <w:pPr>
        <w:spacing w:after="0"/>
        <w:ind w:firstLine="45"/>
        <w:jc w:val="center"/>
        <w:rPr>
          <w:rFonts w:cstheme="minorHAnsi"/>
        </w:rPr>
      </w:pPr>
    </w:p>
    <w:p w14:paraId="0E0625AD" w14:textId="77777777" w:rsidR="009005DC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>Zajęcia dydaktyczne z zakresu Biochemii dla studentów odbywają się w wymiarze godzin przewidzianym programem studiów przez Ministerstwo Nauki i Szkolnictwa Wyższego.</w:t>
      </w:r>
    </w:p>
    <w:p w14:paraId="1CE01F90" w14:textId="77777777" w:rsidR="00A43D06" w:rsidRPr="006F5F22" w:rsidRDefault="00A43D06" w:rsidP="00A43D0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asciiTheme="minorHAnsi" w:eastAsia="Times New Roman" w:hAnsiTheme="minorHAnsi" w:cstheme="minorHAnsi"/>
          <w:color w:val="333333"/>
        </w:rPr>
        <w:t xml:space="preserve">Treści programowe wykładów oraz ćwiczeń  z przedmiotu biochemia podane  są na stronie internetowej: </w:t>
      </w:r>
      <w:hyperlink r:id="rId5" w:history="1">
        <w:r w:rsidRPr="006F5F22">
          <w:rPr>
            <w:rStyle w:val="Hipercze"/>
            <w:rFonts w:asciiTheme="minorHAnsi" w:eastAsia="Times New Roman" w:hAnsiTheme="minorHAnsi" w:cstheme="minorHAnsi"/>
            <w:i/>
          </w:rPr>
          <w:t>https://www.umb.edu.pl/wf/zaklad-biochemii-farmaceutycznej</w:t>
        </w:r>
      </w:hyperlink>
      <w:r w:rsidRPr="006F5F22">
        <w:rPr>
          <w:rFonts w:asciiTheme="minorHAnsi" w:eastAsia="Times New Roman" w:hAnsiTheme="minorHAnsi" w:cstheme="minorHAnsi"/>
          <w:color w:val="333333"/>
        </w:rPr>
        <w:t xml:space="preserve"> i w gablocie przed wejściem do Zakładu Biochemii Farmaceutycznej. </w:t>
      </w:r>
    </w:p>
    <w:p w14:paraId="5D279640" w14:textId="77777777" w:rsidR="00A43D06" w:rsidRPr="006F5F22" w:rsidRDefault="00A43D06" w:rsidP="00A43D0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eastAsia="Times New Roman" w:cstheme="minorHAnsi"/>
          <w:color w:val="333333"/>
        </w:rPr>
        <w:t xml:space="preserve">Skład Zespołu Dydaktycznego znajduje się na stronie internetowej Zakładu: </w:t>
      </w:r>
      <w:hyperlink r:id="rId6" w:history="1">
        <w:r w:rsidRPr="006F5F22">
          <w:rPr>
            <w:rStyle w:val="Hipercze"/>
            <w:rFonts w:asciiTheme="minorHAnsi" w:eastAsia="Times New Roman" w:hAnsiTheme="minorHAnsi" w:cstheme="minorHAnsi"/>
            <w:i/>
          </w:rPr>
          <w:t>https://www.umb.edu.pl/wf/zaklad-biochemii-farmaceutycznej</w:t>
        </w:r>
      </w:hyperlink>
    </w:p>
    <w:p w14:paraId="1222F0C0" w14:textId="68B29D74" w:rsidR="00E57AA4" w:rsidRPr="006F5F22" w:rsidRDefault="00E57AA4" w:rsidP="00900B8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>Zajęcia laboratoryjne odbywają się w salach ćwiczeniowych Zakładu Biochemii Farmaceutycznej. Przed wejściem do pracowni należy nałożyć biały fartuch ochronny, miękkie obuwie oraz zdezynfekować ręce</w:t>
      </w:r>
      <w:r w:rsidR="00A43D06" w:rsidRPr="006F5F22">
        <w:rPr>
          <w:rFonts w:cstheme="minorHAnsi"/>
          <w:color w:val="000000" w:themeColor="text1"/>
        </w:rPr>
        <w:t xml:space="preserve">. </w:t>
      </w:r>
      <w:r w:rsidRPr="006F5F22">
        <w:rPr>
          <w:rFonts w:cstheme="minorHAnsi"/>
          <w:color w:val="000000" w:themeColor="text1"/>
        </w:rPr>
        <w:t>Do pracowni należy zabrać jedynie rzeczy niezbędne, jak skrypt do ćwiczeń, materiały piśmienne oraz kalkulator.</w:t>
      </w:r>
    </w:p>
    <w:p w14:paraId="3AD49B12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>Na każde ćwiczenie obowiązuje znajomość części praktycznej oraz materiału wykładowego z poprzedniego tygodnia.</w:t>
      </w:r>
    </w:p>
    <w:p w14:paraId="094DC6B4" w14:textId="2443052C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 xml:space="preserve">Student jest zobowiązany uczestniczyć we wszystkich zajęciach. W przypadku nieobecności należy ją usprawiedliwić bezpośrednio po ustąpieniu przyczyn nieobecności, najpóźniej </w:t>
      </w:r>
      <w:r w:rsidR="008406E1" w:rsidRPr="006F5F22">
        <w:rPr>
          <w:rFonts w:cstheme="minorHAnsi"/>
          <w:color w:val="000000" w:themeColor="text1"/>
        </w:rPr>
        <w:t>w terminie nie</w:t>
      </w:r>
      <w:r w:rsidR="006431E1" w:rsidRPr="006F5F22">
        <w:rPr>
          <w:rFonts w:cstheme="minorHAnsi"/>
          <w:color w:val="000000" w:themeColor="text1"/>
        </w:rPr>
        <w:t xml:space="preserve"> </w:t>
      </w:r>
      <w:r w:rsidR="008406E1" w:rsidRPr="006F5F22">
        <w:t>przekraczającym 14 dni</w:t>
      </w:r>
      <w:r w:rsidRPr="006F5F22">
        <w:rPr>
          <w:rFonts w:cstheme="minorHAnsi"/>
          <w:color w:val="000000" w:themeColor="text1"/>
        </w:rPr>
        <w:t>. Honorowane będą tylko zwolnienia lekarskie lub dziekańskie.</w:t>
      </w:r>
    </w:p>
    <w:p w14:paraId="07CC8D9C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>W pracowni należy unikać zbędnych rozmów, nie wolno spożywać pokarmów oraz napojów.</w:t>
      </w:r>
    </w:p>
    <w:p w14:paraId="4D613F36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>W sali ćwiczeniowej student może przebywać jedynie w obecności asystenta. W trakcie zajęć nie wolno opuszczać sali ćwiczeniowej bez zgody asystenta.</w:t>
      </w:r>
    </w:p>
    <w:p w14:paraId="26C2D488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>Na pierwszym ćwiczeniu student zobowiązany jest do zapoznania się z regulaminem ćwiczeń oraz przepisami BHP.</w:t>
      </w:r>
    </w:p>
    <w:p w14:paraId="1B603E0D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>Student, który nie odbył szkolenia w zakresie BHP nie może uczestniczyć w zajęciach praktycznych.</w:t>
      </w:r>
    </w:p>
    <w:p w14:paraId="563927A0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</w:rPr>
      </w:pPr>
      <w:r w:rsidRPr="006F5F22">
        <w:rPr>
          <w:rFonts w:cstheme="minorHAnsi"/>
          <w:color w:val="000000" w:themeColor="text1"/>
        </w:rPr>
        <w:t>Wykonując doświadczenia należy oszczędnie użytkować odczynniki chemiczne. Do doświadczeń brać możliwie mało odczynników (najlepiej tyle ile jest podane w instrukcji do wykonywanego doświadczenia lub wg wskazówek osoby prowadzącej ćwiczenia). Nie wolno zlewać odczynników z powrotem do butelek, ani też zamieniać korków i pipet.</w:t>
      </w:r>
    </w:p>
    <w:p w14:paraId="69B21A16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>Należy dbać o czystość miejsca pracy. Na stole i półkach z odczynnikami powinien panować porządek. Rozlane kwasy natychmiast zneutralizować 5% NaHCO</w:t>
      </w:r>
      <w:r w:rsidRPr="006F5F22">
        <w:rPr>
          <w:rFonts w:cstheme="minorHAnsi"/>
          <w:vertAlign w:val="subscript"/>
        </w:rPr>
        <w:t>3</w:t>
      </w:r>
      <w:r w:rsidRPr="006F5F22">
        <w:rPr>
          <w:rFonts w:cstheme="minorHAnsi"/>
        </w:rPr>
        <w:t>, a zasady 1% kwasem octowym, a następnie zmyć wodą.</w:t>
      </w:r>
    </w:p>
    <w:p w14:paraId="709FAC95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 xml:space="preserve">Wszelkie odpadki stałe (papier, szkło) należy wrzucać do </w:t>
      </w:r>
      <w:r w:rsidR="001D3A57" w:rsidRPr="006F5F22">
        <w:rPr>
          <w:rFonts w:cstheme="minorHAnsi"/>
        </w:rPr>
        <w:t>kosza na odpady</w:t>
      </w:r>
      <w:r w:rsidRPr="006F5F22">
        <w:rPr>
          <w:rFonts w:cstheme="minorHAnsi"/>
        </w:rPr>
        <w:t>, natomiast stężone kwasy i zasady wylewać do zlewu na bieżącą wodę.</w:t>
      </w:r>
    </w:p>
    <w:p w14:paraId="38ACD43A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>Wszelkie prace z substancjami łatwopalnymi, lotnymi oraz stężonymi kwasami i zasadami należy wykonywać pod wyciągiem i z zachowaniem szczególnych środków ostrożności. Stężonych kwasów i zasad, trucizn oraz roztworów lotnych nie wolno aspirować ustami. Zużyte odczynniki wylewać do zlewu w taki sposób, aby uniknąć poparzenia przez odbite od ścianek zlewu krople płynu. Natychmiast spłukiwać zlew bieżąca wodą. Płynami łatwopalnymi posługiwać się wtedy, gdy pa</w:t>
      </w:r>
      <w:r w:rsidR="00DC3096" w:rsidRPr="006F5F22">
        <w:rPr>
          <w:rFonts w:cstheme="minorHAnsi"/>
        </w:rPr>
        <w:t>l</w:t>
      </w:r>
      <w:r w:rsidRPr="006F5F22">
        <w:rPr>
          <w:rFonts w:cstheme="minorHAnsi"/>
        </w:rPr>
        <w:t xml:space="preserve">niki gazowe są zgaszone i nie ma żadnych innych źródeł otwartego ognia. Po użyciu płynów naczynia </w:t>
      </w:r>
      <w:r w:rsidR="00DC3096" w:rsidRPr="006F5F22">
        <w:rPr>
          <w:rFonts w:cstheme="minorHAnsi"/>
        </w:rPr>
        <w:t xml:space="preserve">należy </w:t>
      </w:r>
      <w:r w:rsidRPr="006F5F22">
        <w:rPr>
          <w:rFonts w:cstheme="minorHAnsi"/>
        </w:rPr>
        <w:t>szczelnie zamykać.</w:t>
      </w:r>
    </w:p>
    <w:p w14:paraId="595697E6" w14:textId="5139A469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>W przypadku poparzenia lub skaleczenia</w:t>
      </w:r>
      <w:r w:rsidR="00DC3096" w:rsidRPr="006F5F22">
        <w:rPr>
          <w:rFonts w:cstheme="minorHAnsi"/>
        </w:rPr>
        <w:t xml:space="preserve"> </w:t>
      </w:r>
      <w:r w:rsidR="00900B86" w:rsidRPr="006F5F22">
        <w:rPr>
          <w:rFonts w:cstheme="minorHAnsi"/>
        </w:rPr>
        <w:t>należy</w:t>
      </w:r>
      <w:r w:rsidRPr="006F5F22">
        <w:rPr>
          <w:rFonts w:cstheme="minorHAnsi"/>
        </w:rPr>
        <w:t xml:space="preserve"> natychmiast zgłosić</w:t>
      </w:r>
      <w:r w:rsidR="00DC3096" w:rsidRPr="006F5F22">
        <w:rPr>
          <w:rFonts w:cstheme="minorHAnsi"/>
        </w:rPr>
        <w:t xml:space="preserve"> ten</w:t>
      </w:r>
      <w:r w:rsidRPr="006F5F22">
        <w:rPr>
          <w:rFonts w:cstheme="minorHAnsi"/>
        </w:rPr>
        <w:t xml:space="preserve"> fakt osobie prowadzącej ćwiczenia. W przypadku poparzenia płynami żrącymi (stężone kwasy lub zasady) natychmiast obficie zmyć oblaną powierzchnię ciała wodą wodociągową i zgłosić osobie prowadzącej ćwiczenia. Następnie zobojętnić: kwasy 5% NaHCO</w:t>
      </w:r>
      <w:r w:rsidRPr="006F5F22">
        <w:rPr>
          <w:rFonts w:cstheme="minorHAnsi"/>
          <w:vertAlign w:val="subscript"/>
        </w:rPr>
        <w:t>3</w:t>
      </w:r>
      <w:r w:rsidRPr="006F5F22">
        <w:rPr>
          <w:rFonts w:cstheme="minorHAnsi"/>
        </w:rPr>
        <w:t>, a zasady 1% kwasem octowym.</w:t>
      </w:r>
    </w:p>
    <w:p w14:paraId="6A0E42CC" w14:textId="5BC7C278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>Należy umiejętnie korzystać z instalacji gazowej. Przy zapalaniu palnika gazowego zamknąć dopływ powietrza, następnie zbliżyć zapaloną zapałkę do wylotu kominka i powoli otworzyć kurek gazowy. Następnie uregulować dopływ powietrza</w:t>
      </w:r>
      <w:r w:rsidR="00DC3096" w:rsidRPr="006F5F22">
        <w:rPr>
          <w:rFonts w:cstheme="minorHAnsi"/>
        </w:rPr>
        <w:t>,</w:t>
      </w:r>
      <w:r w:rsidR="00900B86" w:rsidRPr="006F5F22">
        <w:rPr>
          <w:rFonts w:cstheme="minorHAnsi"/>
        </w:rPr>
        <w:t xml:space="preserve"> </w:t>
      </w:r>
      <w:r w:rsidRPr="006F5F22">
        <w:rPr>
          <w:rFonts w:cstheme="minorHAnsi"/>
        </w:rPr>
        <w:t xml:space="preserve">płomień nie powinien huczeć </w:t>
      </w:r>
      <w:r w:rsidR="00DC3096" w:rsidRPr="006F5F22">
        <w:rPr>
          <w:rFonts w:cstheme="minorHAnsi"/>
        </w:rPr>
        <w:t xml:space="preserve">ani </w:t>
      </w:r>
      <w:r w:rsidRPr="006F5F22">
        <w:rPr>
          <w:rFonts w:cstheme="minorHAnsi"/>
        </w:rPr>
        <w:t>kopcić. Niepotrzebne palniki należy natychmiast zgasić.</w:t>
      </w:r>
    </w:p>
    <w:p w14:paraId="402569B2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>W razie zapalenia się mieszaniny reakcyjnej, stołu lub fartucha ochronnego natychmiast zawiadomić osobę prowadzącą ćwiczenia i gasić przykrywając ogień kocem gaśniczym (koc wisi na ścianie w sali ćwiczeniowej).</w:t>
      </w:r>
    </w:p>
    <w:p w14:paraId="7654A67B" w14:textId="77777777" w:rsidR="006F7EFA" w:rsidRPr="006F5F22" w:rsidRDefault="006F7EFA" w:rsidP="009005D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>Po ukończeniu ćwiczenia każdy student powinien uporządkować swoje stanowisko pracy, umyć szkło laboratoryjne oraz umieścić butelki z odczynnikami i pojemniki z substancjami na właściwym miejscu, sprawdzić czy zamknięte są kurki gazowe i zakręcone krany wodne i zameldować o wykonaniu zadania osobie dyżurnej. Dyżurny melduje o uporządkowaniu stanowisk pracy swojej grupy osobie prowadzącej ćwiczenia.</w:t>
      </w:r>
    </w:p>
    <w:p w14:paraId="2883AE34" w14:textId="77777777" w:rsidR="006F7EFA" w:rsidRPr="006F5F22" w:rsidRDefault="006F7EFA" w:rsidP="00900B8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lastRenderedPageBreak/>
        <w:t>Zaliczenie poszczególnych ćwiczeń odbywa się na podstawie uzyskania pozytywnej oceny z kartkówki sprawdzającej wiadomości dotyczące bieżącego ćwiczenia oraz wykładu poprzedzającego ćwiczenie.</w:t>
      </w:r>
    </w:p>
    <w:p w14:paraId="5EBEBB8F" w14:textId="77777777" w:rsidR="006F7EFA" w:rsidRPr="006F5F22" w:rsidRDefault="006F7EFA" w:rsidP="00900B8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>Student na poszczególnych ćwiczeniach oceniany będzie z zakresu: wiedzy, umiejętności oraz kompetencji.  </w:t>
      </w:r>
    </w:p>
    <w:p w14:paraId="562E3F67" w14:textId="77777777" w:rsidR="006F7EFA" w:rsidRPr="006F5F22" w:rsidRDefault="006F7EFA" w:rsidP="00900B8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 xml:space="preserve">System oceniania wiadomości z zakresu wiedzy, umiejętności i kompetencji na ćwiczeniach opiera się o skalę ocen: 5 – </w:t>
      </w:r>
      <w:r w:rsidRPr="006F5F22">
        <w:rPr>
          <w:rFonts w:cstheme="minorHAnsi"/>
          <w:b/>
          <w:bCs/>
        </w:rPr>
        <w:t>bardzo</w:t>
      </w:r>
      <w:r w:rsidRPr="006F5F22">
        <w:rPr>
          <w:rFonts w:cstheme="minorHAnsi"/>
          <w:bCs/>
        </w:rPr>
        <w:t xml:space="preserve"> </w:t>
      </w:r>
      <w:r w:rsidRPr="006F5F22">
        <w:rPr>
          <w:rFonts w:cstheme="minorHAnsi"/>
          <w:b/>
          <w:bCs/>
        </w:rPr>
        <w:t>dobra</w:t>
      </w:r>
      <w:r w:rsidRPr="006F5F22">
        <w:rPr>
          <w:rFonts w:cstheme="minorHAnsi"/>
        </w:rPr>
        <w:t xml:space="preserve">, 4,5 – </w:t>
      </w:r>
      <w:r w:rsidRPr="006F5F22">
        <w:rPr>
          <w:rFonts w:cstheme="minorHAnsi"/>
          <w:b/>
          <w:bCs/>
        </w:rPr>
        <w:t>ponad</w:t>
      </w:r>
      <w:r w:rsidRPr="006F5F22">
        <w:rPr>
          <w:rFonts w:cstheme="minorHAnsi"/>
          <w:bCs/>
        </w:rPr>
        <w:t xml:space="preserve"> </w:t>
      </w:r>
      <w:r w:rsidRPr="006F5F22">
        <w:rPr>
          <w:rFonts w:cstheme="minorHAnsi"/>
          <w:b/>
          <w:bCs/>
        </w:rPr>
        <w:t>dobra</w:t>
      </w:r>
      <w:r w:rsidRPr="006F5F22">
        <w:rPr>
          <w:rFonts w:cstheme="minorHAnsi"/>
        </w:rPr>
        <w:t xml:space="preserve">, 4 – </w:t>
      </w:r>
      <w:r w:rsidRPr="006F5F22">
        <w:rPr>
          <w:rFonts w:cstheme="minorHAnsi"/>
          <w:b/>
          <w:bCs/>
        </w:rPr>
        <w:t>dobra</w:t>
      </w:r>
      <w:r w:rsidRPr="006F5F22">
        <w:rPr>
          <w:rFonts w:cstheme="minorHAnsi"/>
        </w:rPr>
        <w:t xml:space="preserve">, 3,5 – </w:t>
      </w:r>
      <w:r w:rsidRPr="006F5F22">
        <w:rPr>
          <w:rFonts w:cstheme="minorHAnsi"/>
          <w:b/>
          <w:bCs/>
        </w:rPr>
        <w:t>dość</w:t>
      </w:r>
      <w:r w:rsidRPr="006F5F22">
        <w:rPr>
          <w:rFonts w:cstheme="minorHAnsi"/>
          <w:bCs/>
        </w:rPr>
        <w:t xml:space="preserve"> </w:t>
      </w:r>
      <w:r w:rsidRPr="006F5F22">
        <w:rPr>
          <w:rFonts w:cstheme="minorHAnsi"/>
          <w:b/>
          <w:bCs/>
        </w:rPr>
        <w:t>dobra</w:t>
      </w:r>
      <w:r w:rsidRPr="006F5F22">
        <w:rPr>
          <w:rFonts w:cstheme="minorHAnsi"/>
        </w:rPr>
        <w:t xml:space="preserve">, 3 – </w:t>
      </w:r>
      <w:r w:rsidRPr="006F5F22">
        <w:rPr>
          <w:rFonts w:cstheme="minorHAnsi"/>
          <w:b/>
          <w:bCs/>
        </w:rPr>
        <w:t>dostateczna</w:t>
      </w:r>
      <w:r w:rsidRPr="006F5F22">
        <w:rPr>
          <w:rFonts w:cstheme="minorHAnsi"/>
        </w:rPr>
        <w:t xml:space="preserve">, 2 – </w:t>
      </w:r>
      <w:r w:rsidRPr="006F5F22">
        <w:rPr>
          <w:rFonts w:cstheme="minorHAnsi"/>
          <w:b/>
          <w:bCs/>
        </w:rPr>
        <w:t>niedostateczna</w:t>
      </w:r>
      <w:r w:rsidRPr="006F5F22">
        <w:rPr>
          <w:rFonts w:cstheme="minorHAnsi"/>
        </w:rPr>
        <w:t>.</w:t>
      </w:r>
    </w:p>
    <w:p w14:paraId="4743462F" w14:textId="77777777" w:rsidR="00A43D06" w:rsidRPr="006F5F22" w:rsidRDefault="00A43D06" w:rsidP="00900B8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 xml:space="preserve">Otrzymanie oceny niedostatecznej upoważnia studenta do przystąpienia do poprawy w terminie nie przekraczającym </w:t>
      </w:r>
      <w:r w:rsidR="00A35353" w:rsidRPr="006F5F22">
        <w:rPr>
          <w:rFonts w:cstheme="minorHAnsi"/>
        </w:rPr>
        <w:t>dwóch tygodni</w:t>
      </w:r>
      <w:r w:rsidR="00C41CAD" w:rsidRPr="006F5F22">
        <w:rPr>
          <w:rFonts w:cstheme="minorHAnsi"/>
        </w:rPr>
        <w:t xml:space="preserve"> </w:t>
      </w:r>
      <w:r w:rsidRPr="006F5F22">
        <w:rPr>
          <w:rFonts w:cstheme="minorHAnsi"/>
        </w:rPr>
        <w:t xml:space="preserve"> od daty otrzymania oceny negatywnej.</w:t>
      </w:r>
    </w:p>
    <w:p w14:paraId="7AE844E6" w14:textId="77777777" w:rsidR="00C41CAD" w:rsidRPr="006F5F22" w:rsidRDefault="00C41CAD" w:rsidP="00900B8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 w:rsidRPr="006F5F22">
        <w:rPr>
          <w:rFonts w:asciiTheme="minorHAnsi" w:hAnsiTheme="minorHAnsi" w:cstheme="minorHAnsi"/>
          <w:color w:val="000000"/>
        </w:rPr>
        <w:t xml:space="preserve">Wgląd przez studenta w kartkówki odbywa się na ćwiczeniach. </w:t>
      </w:r>
    </w:p>
    <w:p w14:paraId="3BA824DD" w14:textId="77777777" w:rsidR="00C41CAD" w:rsidRPr="006F5F22" w:rsidRDefault="00C41CAD" w:rsidP="00900B86">
      <w:pPr>
        <w:pStyle w:val="Akapitzlist"/>
        <w:numPr>
          <w:ilvl w:val="0"/>
          <w:numId w:val="6"/>
        </w:numPr>
        <w:jc w:val="both"/>
      </w:pPr>
      <w:r w:rsidRPr="006F5F22">
        <w:t>Student ma obowiązek we wszystkich sprawach dotyczących studiów w korespondencji elektronicznej posługiwać się studenckim kontem uczelnianym w domenie student.umb.edu.pl oraz systematycznie sprawdzać konto e-mailowe i odczytywać korespondencję.</w:t>
      </w:r>
    </w:p>
    <w:p w14:paraId="15D910F5" w14:textId="01287982" w:rsidR="00D551F9" w:rsidRPr="006F5F22" w:rsidRDefault="00D551F9" w:rsidP="00900B86">
      <w:pPr>
        <w:pStyle w:val="Akapitzlist"/>
        <w:numPr>
          <w:ilvl w:val="0"/>
          <w:numId w:val="6"/>
        </w:numPr>
        <w:jc w:val="both"/>
      </w:pPr>
      <w:r w:rsidRPr="006F5F22">
        <w:t>Student, który nie zaliczył wszystkich wymaganych zajęć nie może być dopuszczony do sesji egzaminacyjnej</w:t>
      </w:r>
      <w:r w:rsidR="00BF2A49">
        <w:t xml:space="preserve"> i jest </w:t>
      </w:r>
      <w:r w:rsidR="00BB4991">
        <w:t xml:space="preserve">zobowiązany do napisania kolokwium </w:t>
      </w:r>
      <w:proofErr w:type="spellStart"/>
      <w:r w:rsidR="00BB4991">
        <w:t>dopuszczeniowego</w:t>
      </w:r>
      <w:proofErr w:type="spellEnd"/>
      <w:r w:rsidR="00BB4991">
        <w:t xml:space="preserve">. </w:t>
      </w:r>
    </w:p>
    <w:p w14:paraId="436C4C76" w14:textId="52073F91" w:rsidR="006A3CC8" w:rsidRPr="006F5F22" w:rsidRDefault="006A3CC8" w:rsidP="00900B8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F5F22">
        <w:rPr>
          <w:rFonts w:cstheme="minorHAnsi"/>
        </w:rPr>
        <w:t>Egzamin obejmuje treści programowe zawarte w wykładach</w:t>
      </w:r>
      <w:r w:rsidR="00FB09EE">
        <w:rPr>
          <w:rFonts w:cstheme="minorHAnsi"/>
        </w:rPr>
        <w:t xml:space="preserve">, </w:t>
      </w:r>
      <w:r w:rsidRPr="006F5F22">
        <w:rPr>
          <w:rFonts w:cstheme="minorHAnsi"/>
        </w:rPr>
        <w:t>ćwiczeniach</w:t>
      </w:r>
      <w:r w:rsidR="00FB09EE">
        <w:rPr>
          <w:rFonts w:cstheme="minorHAnsi"/>
        </w:rPr>
        <w:t xml:space="preserve"> i seminariach</w:t>
      </w:r>
      <w:r w:rsidRPr="006F5F22">
        <w:rPr>
          <w:rFonts w:cstheme="minorHAnsi"/>
        </w:rPr>
        <w:t>.</w:t>
      </w:r>
    </w:p>
    <w:p w14:paraId="2CBE3352" w14:textId="77777777" w:rsidR="006A3CC8" w:rsidRPr="006F5F22" w:rsidRDefault="006A3CC8" w:rsidP="00900B86">
      <w:pPr>
        <w:pStyle w:val="Akapitzlist"/>
        <w:numPr>
          <w:ilvl w:val="0"/>
          <w:numId w:val="6"/>
        </w:numPr>
        <w:spacing w:after="0"/>
        <w:jc w:val="both"/>
      </w:pPr>
      <w:r w:rsidRPr="006F5F22">
        <w:rPr>
          <w:rFonts w:cstheme="minorHAnsi"/>
        </w:rPr>
        <w:t>Warunkiem zaliczenia przedmiotu jest uzyskanie przez studenta pozytywnej oceny z egzaminu.</w:t>
      </w:r>
    </w:p>
    <w:p w14:paraId="17C38C36" w14:textId="77777777" w:rsidR="008406E1" w:rsidRPr="006F5F22" w:rsidRDefault="008406E1" w:rsidP="00900B86">
      <w:pPr>
        <w:pStyle w:val="Default"/>
        <w:numPr>
          <w:ilvl w:val="0"/>
          <w:numId w:val="6"/>
        </w:numPr>
        <w:autoSpaceDE/>
        <w:autoSpaceDN/>
        <w:adjustRightInd/>
        <w:spacing w:line="259" w:lineRule="auto"/>
        <w:contextualSpacing/>
        <w:jc w:val="both"/>
        <w:rPr>
          <w:sz w:val="22"/>
          <w:szCs w:val="22"/>
        </w:rPr>
      </w:pPr>
      <w:r w:rsidRPr="006F5F22">
        <w:rPr>
          <w:sz w:val="22"/>
          <w:szCs w:val="22"/>
        </w:rPr>
        <w:t xml:space="preserve">W przypadku stwierdzenia posiadania lub korzystania przez studenta z niedozwolonej formy pomocy, egzamin tego studenta zostaje przerwany, a o powyższym zostaje zawiadomiony Rektor celem wszczęcia postępowania dyscyplinarnego oraz w uzasadnionych przypadkach również zawiadomienia organów ścigania o podejrzeniu popełnienia przestępstwa.  </w:t>
      </w:r>
    </w:p>
    <w:p w14:paraId="43E6A8AB" w14:textId="77777777" w:rsidR="008406E1" w:rsidRPr="006F5F22" w:rsidRDefault="008406E1" w:rsidP="00900B8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bookmarkStart w:id="0" w:name="_Hlk158228741"/>
      <w:r w:rsidRPr="006F5F22">
        <w:rPr>
          <w:rFonts w:cstheme="minorHAnsi"/>
        </w:rPr>
        <w:t xml:space="preserve">Za niedozwolone formy pomocy uważa się między innymi:  </w:t>
      </w:r>
    </w:p>
    <w:p w14:paraId="02E172AE" w14:textId="77777777" w:rsidR="008406E1" w:rsidRPr="006F5F22" w:rsidRDefault="008406E1" w:rsidP="00900B86">
      <w:pPr>
        <w:pStyle w:val="Akapitzlist"/>
        <w:spacing w:after="0" w:line="276" w:lineRule="auto"/>
        <w:jc w:val="both"/>
        <w:rPr>
          <w:rFonts w:cstheme="minorHAnsi"/>
        </w:rPr>
      </w:pPr>
      <w:r w:rsidRPr="006F5F22">
        <w:rPr>
          <w:rFonts w:cstheme="minorHAnsi"/>
        </w:rPr>
        <w:t>- wnoszenie na egzaminy i inne formy sprawdzania wiedzy telefonów komórkowych, innych urządzeń telekomunikacyjnych, podręczników, notatek itp.</w:t>
      </w:r>
    </w:p>
    <w:p w14:paraId="1DF9266D" w14:textId="77777777" w:rsidR="008406E1" w:rsidRPr="006F5F22" w:rsidRDefault="008406E1" w:rsidP="00900B86">
      <w:pPr>
        <w:pStyle w:val="Akapitzlist"/>
        <w:spacing w:after="0" w:line="276" w:lineRule="auto"/>
        <w:jc w:val="both"/>
        <w:rPr>
          <w:rFonts w:cstheme="minorHAnsi"/>
        </w:rPr>
      </w:pPr>
      <w:r w:rsidRPr="006F5F22">
        <w:rPr>
          <w:rFonts w:cstheme="minorHAnsi"/>
        </w:rPr>
        <w:t>- korzystanie podczas egzaminów i innych form sprawdzania wiedzy, z telefonów komórkowych i urządzeń telekomunikacyjnych, podręczników, notatek itp.</w:t>
      </w:r>
    </w:p>
    <w:p w14:paraId="5DEE61F2" w14:textId="62E57E99" w:rsidR="006F5F22" w:rsidRPr="006F5F22" w:rsidRDefault="008406E1" w:rsidP="006F5F22">
      <w:pPr>
        <w:pStyle w:val="Default"/>
        <w:autoSpaceDE/>
        <w:autoSpaceDN/>
        <w:adjustRightInd/>
        <w:spacing w:line="259" w:lineRule="auto"/>
        <w:ind w:left="720"/>
        <w:contextualSpacing/>
        <w:jc w:val="both"/>
        <w:rPr>
          <w:rFonts w:cstheme="minorHAnsi"/>
          <w:sz w:val="22"/>
          <w:szCs w:val="22"/>
        </w:rPr>
      </w:pPr>
      <w:r w:rsidRPr="006F5F22">
        <w:rPr>
          <w:rFonts w:cstheme="minorHAnsi"/>
          <w:sz w:val="22"/>
          <w:szCs w:val="22"/>
        </w:rPr>
        <w:t>- korzystanie z pomocy innych osób, o ile korzystanie z takiej pomocy nie wynika z obowiązujących przepisów lub zasad egzaminu, sprawdzianu lub innych form sprawdzania wiedzy.</w:t>
      </w:r>
    </w:p>
    <w:bookmarkEnd w:id="0"/>
    <w:p w14:paraId="2921292F" w14:textId="1FAE78C9" w:rsidR="001211F9" w:rsidRPr="006F5F22" w:rsidRDefault="006A3CC8" w:rsidP="006F5F2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6F5F22">
        <w:t>Przerwanie egzaminu skutkuje oceną niedostateczną bez możliwości skorzystania z jakiejkolwiek późniejszej formy poprawy (oraz egzaminu komisyjnego).</w:t>
      </w:r>
    </w:p>
    <w:p w14:paraId="6BAD2066" w14:textId="4EF8DD0F" w:rsidR="008C2DA4" w:rsidRPr="0038381E" w:rsidRDefault="00AF5E57" w:rsidP="006F5F2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643487">
        <w:rPr>
          <w:rFonts w:cstheme="minorHAnsi"/>
        </w:rPr>
        <w:t>Zasady i termin oglądania prac egzaminacyjnych przez studentów ustala kierownik jednostki. Wgląd do prac egzaminacyjnych odbywa się w obecności kierownika jednostki lub osoby przez niego wyznaczonej.</w:t>
      </w:r>
    </w:p>
    <w:sectPr w:rsidR="008C2DA4" w:rsidRPr="0038381E" w:rsidSect="00D65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C82145"/>
    <w:multiLevelType w:val="hybridMultilevel"/>
    <w:tmpl w:val="AC640F2C"/>
    <w:lvl w:ilvl="0" w:tplc="6428E9FA">
      <w:start w:val="1"/>
      <w:numFmt w:val="decimal"/>
      <w:lvlText w:val="%1."/>
      <w:lvlJc w:val="center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ECB"/>
    <w:multiLevelType w:val="hybridMultilevel"/>
    <w:tmpl w:val="B4722318"/>
    <w:lvl w:ilvl="0" w:tplc="A3E868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6C05"/>
    <w:multiLevelType w:val="hybridMultilevel"/>
    <w:tmpl w:val="A5BA6F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91B24"/>
    <w:multiLevelType w:val="hybridMultilevel"/>
    <w:tmpl w:val="D0C012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0502D6"/>
    <w:multiLevelType w:val="hybridMultilevel"/>
    <w:tmpl w:val="50729592"/>
    <w:lvl w:ilvl="0" w:tplc="A3E868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34804"/>
    <w:multiLevelType w:val="hybridMultilevel"/>
    <w:tmpl w:val="CB900D72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90956"/>
    <w:multiLevelType w:val="multilevel"/>
    <w:tmpl w:val="955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E7563"/>
    <w:multiLevelType w:val="hybridMultilevel"/>
    <w:tmpl w:val="4E28DD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5B2D12"/>
    <w:multiLevelType w:val="hybridMultilevel"/>
    <w:tmpl w:val="88C439E4"/>
    <w:lvl w:ilvl="0" w:tplc="DA3824E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933D2"/>
    <w:multiLevelType w:val="hybridMultilevel"/>
    <w:tmpl w:val="6616CA56"/>
    <w:lvl w:ilvl="0" w:tplc="A3E868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3871">
    <w:abstractNumId w:val="6"/>
  </w:num>
  <w:num w:numId="2" w16cid:durableId="715856135">
    <w:abstractNumId w:val="0"/>
  </w:num>
  <w:num w:numId="3" w16cid:durableId="303707223">
    <w:abstractNumId w:val="5"/>
  </w:num>
  <w:num w:numId="4" w16cid:durableId="781730040">
    <w:abstractNumId w:val="9"/>
  </w:num>
  <w:num w:numId="5" w16cid:durableId="231895140">
    <w:abstractNumId w:val="8"/>
  </w:num>
  <w:num w:numId="6" w16cid:durableId="521669285">
    <w:abstractNumId w:val="1"/>
  </w:num>
  <w:num w:numId="7" w16cid:durableId="2015645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5646619">
    <w:abstractNumId w:val="4"/>
  </w:num>
  <w:num w:numId="9" w16cid:durableId="1335180433">
    <w:abstractNumId w:val="2"/>
  </w:num>
  <w:num w:numId="10" w16cid:durableId="2059817818">
    <w:abstractNumId w:val="3"/>
  </w:num>
  <w:num w:numId="11" w16cid:durableId="1561987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FA"/>
    <w:rsid w:val="000C739D"/>
    <w:rsid w:val="000F76D9"/>
    <w:rsid w:val="001211F9"/>
    <w:rsid w:val="001737C6"/>
    <w:rsid w:val="001D3A57"/>
    <w:rsid w:val="00282A4E"/>
    <w:rsid w:val="002E1904"/>
    <w:rsid w:val="003616FD"/>
    <w:rsid w:val="0038381E"/>
    <w:rsid w:val="003F2D6B"/>
    <w:rsid w:val="004972AA"/>
    <w:rsid w:val="005D3757"/>
    <w:rsid w:val="00613B9E"/>
    <w:rsid w:val="00625B50"/>
    <w:rsid w:val="006431E1"/>
    <w:rsid w:val="006A16E7"/>
    <w:rsid w:val="006A3CC8"/>
    <w:rsid w:val="006F5F22"/>
    <w:rsid w:val="006F7EFA"/>
    <w:rsid w:val="008406E1"/>
    <w:rsid w:val="008B3DD5"/>
    <w:rsid w:val="008C2DA4"/>
    <w:rsid w:val="009005DC"/>
    <w:rsid w:val="00900B86"/>
    <w:rsid w:val="00944ECA"/>
    <w:rsid w:val="009457B6"/>
    <w:rsid w:val="00A35353"/>
    <w:rsid w:val="00A43D06"/>
    <w:rsid w:val="00AE3BC9"/>
    <w:rsid w:val="00AF5E57"/>
    <w:rsid w:val="00B97059"/>
    <w:rsid w:val="00BB4991"/>
    <w:rsid w:val="00BD70F9"/>
    <w:rsid w:val="00BF2A49"/>
    <w:rsid w:val="00C41CAD"/>
    <w:rsid w:val="00C4380B"/>
    <w:rsid w:val="00C46678"/>
    <w:rsid w:val="00CF321F"/>
    <w:rsid w:val="00D5497B"/>
    <w:rsid w:val="00D551F9"/>
    <w:rsid w:val="00D653EA"/>
    <w:rsid w:val="00DC3096"/>
    <w:rsid w:val="00E57AA4"/>
    <w:rsid w:val="00EF15A3"/>
    <w:rsid w:val="00F7427B"/>
    <w:rsid w:val="00FB09EE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19000B"/>
  <w15:docId w15:val="{60ECA616-0779-432A-9D03-C7DBE41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1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1F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005D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5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41C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0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0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00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41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338076788">
              <w:marLeft w:val="0"/>
              <w:marRight w:val="0"/>
              <w:marTop w:val="0"/>
              <w:marBottom w:val="0"/>
              <w:divBdr>
                <w:top w:val="single" w:sz="2" w:space="8" w:color="FF0000"/>
                <w:left w:val="single" w:sz="2" w:space="0" w:color="FF0000"/>
                <w:bottom w:val="single" w:sz="2" w:space="8" w:color="FF0000"/>
                <w:right w:val="single" w:sz="2" w:space="0" w:color="FF0000"/>
              </w:divBdr>
              <w:divsChild>
                <w:div w:id="5024041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59122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FF0000"/>
                        <w:right w:val="single" w:sz="2" w:space="0" w:color="666666"/>
                      </w:divBdr>
                      <w:divsChild>
                        <w:div w:id="11925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701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434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066879017">
              <w:marLeft w:val="0"/>
              <w:marRight w:val="0"/>
              <w:marTop w:val="0"/>
              <w:marBottom w:val="0"/>
              <w:divBdr>
                <w:top w:val="single" w:sz="2" w:space="8" w:color="FF0000"/>
                <w:left w:val="single" w:sz="2" w:space="0" w:color="FF0000"/>
                <w:bottom w:val="single" w:sz="2" w:space="8" w:color="FF0000"/>
                <w:right w:val="single" w:sz="2" w:space="0" w:color="FF0000"/>
              </w:divBdr>
              <w:divsChild>
                <w:div w:id="11522095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9161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FF0000"/>
                        <w:right w:val="single" w:sz="2" w:space="0" w:color="666666"/>
                      </w:divBdr>
                      <w:divsChild>
                        <w:div w:id="7438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2750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Marek Kluczyk</cp:lastModifiedBy>
  <cp:revision>2</cp:revision>
  <cp:lastPrinted>2020-09-30T10:57:00Z</cp:lastPrinted>
  <dcterms:created xsi:type="dcterms:W3CDTF">2024-10-17T15:50:00Z</dcterms:created>
  <dcterms:modified xsi:type="dcterms:W3CDTF">2024-10-17T15:50:00Z</dcterms:modified>
</cp:coreProperties>
</file>