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189C" w14:textId="60302FCF" w:rsidR="00D37D21" w:rsidRPr="0011194E" w:rsidRDefault="00D37D21" w:rsidP="00D37D21">
      <w:pPr>
        <w:jc w:val="center"/>
        <w:rPr>
          <w:rFonts w:ascii="Arial" w:hAnsi="Arial" w:cs="Arial"/>
          <w:b/>
          <w:lang w:val="en-GB"/>
        </w:rPr>
      </w:pPr>
      <w:r w:rsidRPr="0011194E">
        <w:rPr>
          <w:rFonts w:ascii="Arial" w:hAnsi="Arial" w:cs="Arial"/>
          <w:b/>
          <w:lang w:val="en-GB"/>
        </w:rPr>
        <w:t>Didactic regulations for stu</w:t>
      </w:r>
      <w:r w:rsidR="00A61803" w:rsidRPr="0011194E">
        <w:rPr>
          <w:rFonts w:ascii="Arial" w:hAnsi="Arial" w:cs="Arial"/>
          <w:b/>
          <w:lang w:val="en-GB"/>
        </w:rPr>
        <w:t>dents of</w:t>
      </w:r>
      <w:r w:rsidR="002C06A5" w:rsidRPr="0011194E">
        <w:rPr>
          <w:rFonts w:ascii="Arial" w:hAnsi="Arial" w:cs="Arial"/>
          <w:b/>
          <w:lang w:val="en-GB"/>
        </w:rPr>
        <w:t xml:space="preserve"> the </w:t>
      </w:r>
      <w:r w:rsidRPr="0011194E">
        <w:rPr>
          <w:rFonts w:ascii="Arial" w:hAnsi="Arial" w:cs="Arial"/>
          <w:b/>
          <w:lang w:val="en-GB"/>
        </w:rPr>
        <w:t xml:space="preserve">year </w:t>
      </w:r>
      <w:r w:rsidR="0068539C">
        <w:rPr>
          <w:rFonts w:ascii="Arial" w:hAnsi="Arial" w:cs="Arial"/>
          <w:b/>
          <w:lang w:val="en-GB"/>
        </w:rPr>
        <w:t>II</w:t>
      </w:r>
      <w:r w:rsidR="0068539C" w:rsidRPr="0011194E">
        <w:rPr>
          <w:rFonts w:ascii="Arial" w:hAnsi="Arial" w:cs="Arial"/>
          <w:b/>
          <w:lang w:val="en-GB"/>
        </w:rPr>
        <w:t xml:space="preserve"> </w:t>
      </w:r>
      <w:r w:rsidRPr="0011194E">
        <w:rPr>
          <w:rFonts w:ascii="Arial" w:hAnsi="Arial" w:cs="Arial"/>
          <w:b/>
          <w:lang w:val="en-GB"/>
        </w:rPr>
        <w:t>of the Medical Faculty</w:t>
      </w:r>
    </w:p>
    <w:p w14:paraId="0165EBB2" w14:textId="6299B1F5" w:rsidR="00D37D21" w:rsidRPr="0011194E" w:rsidRDefault="00D37D21" w:rsidP="00D37D21">
      <w:pPr>
        <w:jc w:val="center"/>
        <w:rPr>
          <w:rFonts w:ascii="Arial" w:hAnsi="Arial" w:cs="Arial"/>
          <w:b/>
          <w:lang w:val="en-GB"/>
        </w:rPr>
      </w:pPr>
      <w:r w:rsidRPr="0011194E">
        <w:rPr>
          <w:rFonts w:ascii="Arial" w:hAnsi="Arial" w:cs="Arial"/>
          <w:b/>
          <w:lang w:val="en-GB"/>
        </w:rPr>
        <w:t xml:space="preserve">in the Department of </w:t>
      </w:r>
      <w:r w:rsidR="008D4743" w:rsidRPr="0011194E">
        <w:rPr>
          <w:rFonts w:ascii="Arial" w:hAnsi="Arial" w:cs="Arial"/>
          <w:b/>
          <w:lang w:val="en-GB"/>
        </w:rPr>
        <w:t xml:space="preserve">Toxicology in </w:t>
      </w:r>
      <w:r w:rsidR="002C06A5" w:rsidRPr="0011194E">
        <w:rPr>
          <w:rFonts w:ascii="Arial" w:hAnsi="Arial" w:cs="Arial"/>
          <w:b/>
          <w:lang w:val="en-GB"/>
        </w:rPr>
        <w:t xml:space="preserve">the </w:t>
      </w:r>
      <w:r w:rsidR="008D4743" w:rsidRPr="0011194E">
        <w:rPr>
          <w:rFonts w:ascii="Arial" w:hAnsi="Arial" w:cs="Arial"/>
          <w:b/>
          <w:lang w:val="en-GB"/>
        </w:rPr>
        <w:t>academic year 202</w:t>
      </w:r>
      <w:r w:rsidR="00507052" w:rsidRPr="0011194E">
        <w:rPr>
          <w:rFonts w:ascii="Arial" w:hAnsi="Arial" w:cs="Arial"/>
          <w:b/>
          <w:lang w:val="en-GB"/>
        </w:rPr>
        <w:t>3</w:t>
      </w:r>
      <w:r w:rsidR="00790637" w:rsidRPr="0011194E">
        <w:rPr>
          <w:rFonts w:ascii="Arial" w:hAnsi="Arial" w:cs="Arial"/>
          <w:b/>
          <w:lang w:val="en-GB"/>
        </w:rPr>
        <w:t>/20</w:t>
      </w:r>
      <w:r w:rsidR="008D4743" w:rsidRPr="0011194E">
        <w:rPr>
          <w:rFonts w:ascii="Arial" w:hAnsi="Arial" w:cs="Arial"/>
          <w:b/>
          <w:lang w:val="en-GB"/>
        </w:rPr>
        <w:t>2</w:t>
      </w:r>
      <w:r w:rsidR="00507052" w:rsidRPr="0011194E">
        <w:rPr>
          <w:rFonts w:ascii="Arial" w:hAnsi="Arial" w:cs="Arial"/>
          <w:b/>
          <w:lang w:val="en-GB"/>
        </w:rPr>
        <w:t>4</w:t>
      </w:r>
    </w:p>
    <w:p w14:paraId="3E0FC908" w14:textId="77777777" w:rsidR="00D37D21" w:rsidRPr="0011194E" w:rsidRDefault="00D37D21" w:rsidP="00D37D21">
      <w:pPr>
        <w:spacing w:line="276" w:lineRule="auto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7EA008AD" w14:textId="7FBED9F8" w:rsidR="00E13E60" w:rsidRPr="0011194E" w:rsidRDefault="00D37D21" w:rsidP="00E13E6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The subject “Toxicology” for t</w:t>
      </w:r>
      <w:r w:rsidR="00A61803" w:rsidRPr="0011194E">
        <w:rPr>
          <w:rFonts w:ascii="Arial" w:hAnsi="Arial" w:cs="Arial"/>
          <w:sz w:val="22"/>
          <w:szCs w:val="22"/>
          <w:lang w:val="en-GB"/>
        </w:rPr>
        <w:t>he Medical Faculty students (</w:t>
      </w:r>
      <w:r w:rsidRPr="0011194E">
        <w:rPr>
          <w:rFonts w:ascii="Arial" w:hAnsi="Arial" w:cs="Arial"/>
          <w:sz w:val="22"/>
          <w:szCs w:val="22"/>
          <w:lang w:val="en-GB"/>
        </w:rPr>
        <w:t>year</w:t>
      </w:r>
      <w:r w:rsidR="0068539C" w:rsidRPr="0068539C">
        <w:rPr>
          <w:rFonts w:ascii="Arial" w:hAnsi="Arial" w:cs="Arial"/>
          <w:sz w:val="22"/>
          <w:szCs w:val="22"/>
          <w:lang w:val="en-GB"/>
        </w:rPr>
        <w:t xml:space="preserve"> </w:t>
      </w:r>
      <w:r w:rsidR="0068539C">
        <w:rPr>
          <w:rFonts w:ascii="Arial" w:hAnsi="Arial" w:cs="Arial"/>
          <w:sz w:val="22"/>
          <w:szCs w:val="22"/>
          <w:lang w:val="en-GB"/>
        </w:rPr>
        <w:t>II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) </w:t>
      </w:r>
      <w:r w:rsidR="00B73CE8" w:rsidRPr="0011194E">
        <w:rPr>
          <w:rFonts w:ascii="Arial" w:hAnsi="Arial" w:cs="Arial"/>
          <w:sz w:val="22"/>
          <w:szCs w:val="22"/>
          <w:lang w:val="en-GB"/>
        </w:rPr>
        <w:t xml:space="preserve">is conducted in 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semester </w:t>
      </w:r>
      <w:r w:rsidR="0068539C">
        <w:rPr>
          <w:rFonts w:ascii="Arial" w:hAnsi="Arial" w:cs="Arial"/>
          <w:sz w:val="22"/>
          <w:szCs w:val="22"/>
          <w:lang w:val="en-GB"/>
        </w:rPr>
        <w:t>IV</w:t>
      </w:r>
      <w:r w:rsidR="002C06A5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in the form of lectures (3 </w:t>
      </w:r>
      <w:r w:rsidR="002C06A5" w:rsidRPr="0011194E">
        <w:rPr>
          <w:rFonts w:ascii="Arial" w:hAnsi="Arial" w:cs="Arial"/>
          <w:sz w:val="22"/>
          <w:szCs w:val="22"/>
          <w:lang w:val="en-GB"/>
        </w:rPr>
        <w:t xml:space="preserve">didactic </w:t>
      </w:r>
      <w:r w:rsidRPr="0011194E">
        <w:rPr>
          <w:rFonts w:ascii="Arial" w:hAnsi="Arial" w:cs="Arial"/>
          <w:sz w:val="22"/>
          <w:szCs w:val="22"/>
          <w:lang w:val="en-GB"/>
        </w:rPr>
        <w:t>hours) and classes (7</w:t>
      </w:r>
      <w:r w:rsidR="002C06A5" w:rsidRPr="0011194E">
        <w:rPr>
          <w:rFonts w:ascii="Arial" w:hAnsi="Arial" w:cs="Arial"/>
          <w:sz w:val="22"/>
          <w:szCs w:val="22"/>
          <w:lang w:val="en-GB"/>
        </w:rPr>
        <w:t xml:space="preserve"> didactic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hours). The schedule includes 2 lectures and 5 classes. The subject ends with a credit.</w:t>
      </w:r>
    </w:p>
    <w:p w14:paraId="5C79D92B" w14:textId="2962ACA8" w:rsidR="00D37D21" w:rsidRPr="0011194E" w:rsidRDefault="00177ED7" w:rsidP="00E13E6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A</w:t>
      </w:r>
      <w:r w:rsidR="00E13E60" w:rsidRPr="0011194E">
        <w:rPr>
          <w:rFonts w:ascii="Arial" w:hAnsi="Arial" w:cs="Arial"/>
          <w:sz w:val="22"/>
          <w:szCs w:val="22"/>
          <w:lang w:val="en-GB"/>
        </w:rPr>
        <w:t>ll lectures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are conducted </w:t>
      </w:r>
      <w:r w:rsidR="009E2763" w:rsidRPr="0011194E">
        <w:rPr>
          <w:rFonts w:ascii="Arial" w:hAnsi="Arial" w:cs="Arial"/>
          <w:sz w:val="22"/>
          <w:szCs w:val="22"/>
          <w:lang w:val="en-GB"/>
        </w:rPr>
        <w:t>via the Blackboard e-learning platform of MUB</w:t>
      </w:r>
      <w:r w:rsidR="00812E4E" w:rsidRPr="0011194E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6" w:history="1">
        <w:r w:rsidR="00625823" w:rsidRPr="0011194E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lang w:val="en-GB"/>
          </w:rPr>
          <w:t>https://umbedu.blackboard.com</w:t>
        </w:r>
      </w:hyperlink>
      <w:r w:rsidR="00812E4E" w:rsidRPr="0011194E">
        <w:rPr>
          <w:rFonts w:ascii="Arial" w:hAnsi="Arial" w:cs="Arial"/>
          <w:sz w:val="22"/>
          <w:szCs w:val="22"/>
          <w:lang w:val="en-GB"/>
        </w:rPr>
        <w:t>)</w:t>
      </w:r>
      <w:r w:rsidR="00625823" w:rsidRPr="0011194E">
        <w:rPr>
          <w:rFonts w:ascii="Arial" w:hAnsi="Arial" w:cs="Arial"/>
          <w:sz w:val="22"/>
          <w:szCs w:val="22"/>
          <w:lang w:val="en-GB"/>
        </w:rPr>
        <w:t xml:space="preserve"> and classes are conducted in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the</w:t>
      </w:r>
      <w:r w:rsidR="00625823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25823" w:rsidRPr="0011194E">
        <w:rPr>
          <w:rFonts w:ascii="Arial" w:hAnsi="Arial" w:cs="Arial"/>
          <w:sz w:val="22"/>
          <w:szCs w:val="22"/>
          <w:lang w:val="en-GB"/>
        </w:rPr>
        <w:t>Euroregional</w:t>
      </w:r>
      <w:proofErr w:type="spellEnd"/>
      <w:r w:rsidR="00625823" w:rsidRPr="0011194E">
        <w:rPr>
          <w:rFonts w:ascii="Arial" w:hAnsi="Arial" w:cs="Arial"/>
          <w:sz w:val="22"/>
          <w:szCs w:val="22"/>
          <w:lang w:val="en-GB"/>
        </w:rPr>
        <w:t xml:space="preserve"> Pharmacy Centre </w:t>
      </w:r>
      <w:r w:rsidR="00BF37CB" w:rsidRPr="0011194E">
        <w:rPr>
          <w:rFonts w:ascii="Arial" w:hAnsi="Arial" w:cs="Arial"/>
          <w:sz w:val="22"/>
          <w:szCs w:val="22"/>
          <w:lang w:val="en-GB"/>
        </w:rPr>
        <w:t xml:space="preserve">at </w:t>
      </w:r>
      <w:proofErr w:type="spellStart"/>
      <w:r w:rsidR="00BF37CB" w:rsidRPr="0011194E">
        <w:rPr>
          <w:rFonts w:ascii="Arial" w:hAnsi="Arial" w:cs="Arial"/>
          <w:sz w:val="22"/>
          <w:szCs w:val="22"/>
          <w:lang w:val="en-GB"/>
        </w:rPr>
        <w:t>Adama</w:t>
      </w:r>
      <w:proofErr w:type="spellEnd"/>
      <w:r w:rsidR="00BF37CB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F37CB" w:rsidRPr="0011194E">
        <w:rPr>
          <w:rFonts w:ascii="Arial" w:hAnsi="Arial" w:cs="Arial"/>
          <w:sz w:val="22"/>
          <w:szCs w:val="22"/>
          <w:lang w:val="en-GB"/>
        </w:rPr>
        <w:t>Mickiewicza</w:t>
      </w:r>
      <w:proofErr w:type="spellEnd"/>
      <w:r w:rsidR="00BF37CB" w:rsidRPr="0011194E">
        <w:rPr>
          <w:rFonts w:ascii="Arial" w:hAnsi="Arial" w:cs="Arial"/>
          <w:sz w:val="22"/>
          <w:szCs w:val="22"/>
          <w:lang w:val="en-GB"/>
        </w:rPr>
        <w:t xml:space="preserve"> 2D </w:t>
      </w:r>
      <w:r w:rsidR="002C06A5" w:rsidRPr="0011194E">
        <w:rPr>
          <w:rFonts w:ascii="Arial" w:hAnsi="Arial" w:cs="Arial"/>
          <w:sz w:val="22"/>
          <w:szCs w:val="22"/>
          <w:lang w:val="en-GB"/>
        </w:rPr>
        <w:t>Street</w:t>
      </w:r>
      <w:r w:rsidR="00507052" w:rsidRPr="0011194E">
        <w:rPr>
          <w:rFonts w:ascii="Arial" w:hAnsi="Arial" w:cs="Arial"/>
          <w:sz w:val="22"/>
          <w:szCs w:val="22"/>
          <w:lang w:val="en-GB"/>
        </w:rPr>
        <w:t xml:space="preserve">,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according to the schedule presented to students before the beginning of the semester. The schedule </w:t>
      </w:r>
      <w:r w:rsidR="00F402C8" w:rsidRPr="0011194E">
        <w:rPr>
          <w:rFonts w:ascii="Arial" w:hAnsi="Arial" w:cs="Arial"/>
          <w:sz w:val="22"/>
          <w:szCs w:val="22"/>
          <w:lang w:val="en-GB"/>
        </w:rPr>
        <w:t>and syllabus of the subject are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available on the notice board outside the Department of Toxicology and on the Internet page of the Department (</w:t>
      </w:r>
      <w:r w:rsidR="00F402C8" w:rsidRPr="0011194E">
        <w:rPr>
          <w:rFonts w:ascii="Arial" w:hAnsi="Arial" w:cs="Arial"/>
          <w:sz w:val="22"/>
          <w:szCs w:val="22"/>
          <w:lang w:val="en-GB"/>
        </w:rPr>
        <w:t>www.umb.edu.pl/wf/zaklad-toksykologii</w:t>
      </w:r>
      <w:r w:rsidR="00D37D21" w:rsidRPr="0011194E">
        <w:rPr>
          <w:rFonts w:ascii="Arial" w:hAnsi="Arial" w:cs="Arial"/>
          <w:sz w:val="22"/>
          <w:szCs w:val="22"/>
          <w:lang w:val="en-GB"/>
        </w:rPr>
        <w:t>).</w:t>
      </w:r>
      <w:r w:rsidR="00F402C8" w:rsidRPr="0011194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98D3E6E" w14:textId="44A2ECDD" w:rsidR="00D37D21" w:rsidRPr="0011194E" w:rsidRDefault="00D37D21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The p</w:t>
      </w:r>
      <w:r w:rsidR="009E2763" w:rsidRPr="0011194E">
        <w:rPr>
          <w:rFonts w:ascii="Arial" w:hAnsi="Arial" w:cs="Arial"/>
          <w:sz w:val="22"/>
          <w:szCs w:val="22"/>
          <w:lang w:val="en-GB"/>
        </w:rPr>
        <w:t>articipation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of students </w:t>
      </w:r>
      <w:r w:rsidR="002C06A5" w:rsidRPr="0011194E">
        <w:rPr>
          <w:rFonts w:ascii="Arial" w:hAnsi="Arial" w:cs="Arial"/>
          <w:sz w:val="22"/>
          <w:szCs w:val="22"/>
          <w:lang w:val="en-GB"/>
        </w:rPr>
        <w:t>in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all scheduled lectures and classes is obligatory.</w:t>
      </w:r>
    </w:p>
    <w:p w14:paraId="4AA0ECCF" w14:textId="07EE8A80" w:rsidR="00D37D21" w:rsidRPr="0011194E" w:rsidRDefault="00D37D21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 xml:space="preserve">Students should be prepared for classes within the range of required material and actively participate in them. The material that students are asked to learn </w:t>
      </w:r>
      <w:r w:rsidR="002C06A5" w:rsidRPr="0011194E">
        <w:rPr>
          <w:rFonts w:ascii="Arial" w:hAnsi="Arial" w:cs="Arial"/>
          <w:sz w:val="22"/>
          <w:szCs w:val="22"/>
          <w:lang w:val="en-GB"/>
        </w:rPr>
        <w:t>before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particular classes and </w:t>
      </w:r>
      <w:r w:rsidR="00363CCC" w:rsidRPr="0011194E">
        <w:rPr>
          <w:rFonts w:ascii="Arial" w:hAnsi="Arial" w:cs="Arial"/>
          <w:sz w:val="22"/>
          <w:szCs w:val="22"/>
          <w:lang w:val="en-GB"/>
        </w:rPr>
        <w:t xml:space="preserve">written </w:t>
      </w:r>
      <w:r w:rsidRPr="0011194E">
        <w:rPr>
          <w:rFonts w:ascii="Arial" w:hAnsi="Arial" w:cs="Arial"/>
          <w:sz w:val="22"/>
          <w:szCs w:val="22"/>
          <w:lang w:val="en-GB"/>
        </w:rPr>
        <w:t>tests</w:t>
      </w:r>
      <w:r w:rsidR="00E82583" w:rsidRPr="0011194E">
        <w:rPr>
          <w:rFonts w:ascii="Arial" w:hAnsi="Arial" w:cs="Arial"/>
          <w:sz w:val="22"/>
          <w:szCs w:val="22"/>
          <w:lang w:val="en-GB"/>
        </w:rPr>
        <w:t>,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as well as books (obligatory and </w:t>
      </w:r>
      <w:r w:rsidR="009914BA" w:rsidRPr="0011194E">
        <w:rPr>
          <w:rFonts w:ascii="Arial" w:hAnsi="Arial" w:cs="Arial"/>
          <w:sz w:val="22"/>
          <w:szCs w:val="22"/>
          <w:lang w:val="en-GB"/>
        </w:rPr>
        <w:t>optional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) are presented to students before </w:t>
      </w:r>
      <w:r w:rsidR="0011194E" w:rsidRPr="0011194E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beginning of the semester (notice board outside the Department of Toxicology and the Internet page of the Department). </w:t>
      </w:r>
    </w:p>
    <w:p w14:paraId="1AA99BCA" w14:textId="77777777" w:rsidR="00D37D21" w:rsidRPr="0011194E" w:rsidRDefault="00D37D21" w:rsidP="0079063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b/>
          <w:sz w:val="22"/>
          <w:szCs w:val="22"/>
          <w:lang w:val="en-GB"/>
        </w:rPr>
        <w:t>Obligatory textbook:</w:t>
      </w:r>
    </w:p>
    <w:p w14:paraId="77CA5F02" w14:textId="77777777" w:rsidR="00D37D21" w:rsidRPr="0011194E" w:rsidRDefault="00D37D21" w:rsidP="00240F51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Barile F.A.: Clinical Toxicology. Principles and Mechanisms. 2</w:t>
      </w:r>
      <w:r w:rsidRPr="0011194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edition, Informa Healthcare, 2010.</w:t>
      </w:r>
    </w:p>
    <w:p w14:paraId="29ABCCA2" w14:textId="77777777" w:rsidR="00D37D21" w:rsidRPr="0011194E" w:rsidRDefault="00D37D21" w:rsidP="00240F51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11194E">
        <w:rPr>
          <w:rFonts w:ascii="Arial" w:hAnsi="Arial" w:cs="Arial"/>
          <w:sz w:val="22"/>
          <w:szCs w:val="22"/>
          <w:lang w:val="en-GB"/>
        </w:rPr>
        <w:t>Klaassen</w:t>
      </w:r>
      <w:proofErr w:type="spellEnd"/>
      <w:r w:rsidRPr="0011194E">
        <w:rPr>
          <w:rFonts w:ascii="Arial" w:hAnsi="Arial" w:cs="Arial"/>
          <w:sz w:val="22"/>
          <w:szCs w:val="22"/>
          <w:lang w:val="en-GB"/>
        </w:rPr>
        <w:t xml:space="preserve"> C.D., Watkins J.B. III: </w:t>
      </w:r>
      <w:proofErr w:type="spellStart"/>
      <w:r w:rsidRPr="0011194E">
        <w:rPr>
          <w:rFonts w:ascii="Arial" w:hAnsi="Arial" w:cs="Arial"/>
          <w:sz w:val="22"/>
          <w:szCs w:val="22"/>
          <w:lang w:val="en-GB"/>
        </w:rPr>
        <w:t>Casarett</w:t>
      </w:r>
      <w:proofErr w:type="spellEnd"/>
      <w:r w:rsidRPr="0011194E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11194E">
        <w:rPr>
          <w:rFonts w:ascii="Arial" w:hAnsi="Arial" w:cs="Arial"/>
          <w:sz w:val="22"/>
          <w:szCs w:val="22"/>
          <w:lang w:val="en-GB"/>
        </w:rPr>
        <w:t>Doull’s</w:t>
      </w:r>
      <w:proofErr w:type="spellEnd"/>
      <w:r w:rsidRPr="0011194E">
        <w:rPr>
          <w:rFonts w:ascii="Arial" w:hAnsi="Arial" w:cs="Arial"/>
          <w:sz w:val="22"/>
          <w:szCs w:val="22"/>
          <w:lang w:val="en-GB"/>
        </w:rPr>
        <w:t xml:space="preserve"> Essentials of Toxicology. McGraw-Hill Medical Publishing Division, USA, 2003.</w:t>
      </w:r>
    </w:p>
    <w:p w14:paraId="3ED634E6" w14:textId="77777777" w:rsidR="00D37D21" w:rsidRPr="0011194E" w:rsidRDefault="00D37D21" w:rsidP="0079063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b/>
          <w:sz w:val="22"/>
          <w:szCs w:val="22"/>
          <w:lang w:val="en-GB"/>
        </w:rPr>
        <w:t>Optional textbook:</w:t>
      </w:r>
    </w:p>
    <w:p w14:paraId="3AB8316C" w14:textId="77777777" w:rsidR="00D37D21" w:rsidRPr="0011194E" w:rsidRDefault="00D37D21" w:rsidP="00240F5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11194E">
        <w:rPr>
          <w:rFonts w:ascii="Arial" w:hAnsi="Arial" w:cs="Arial"/>
          <w:sz w:val="22"/>
          <w:szCs w:val="22"/>
          <w:lang w:val="en-GB"/>
        </w:rPr>
        <w:t>Kwong</w:t>
      </w:r>
      <w:proofErr w:type="spellEnd"/>
      <w:r w:rsidRPr="0011194E">
        <w:rPr>
          <w:rFonts w:ascii="Arial" w:hAnsi="Arial" w:cs="Arial"/>
          <w:sz w:val="22"/>
          <w:szCs w:val="22"/>
          <w:lang w:val="en-GB"/>
        </w:rPr>
        <w:t xml:space="preserve"> T.C., </w:t>
      </w:r>
      <w:proofErr w:type="spellStart"/>
      <w:r w:rsidRPr="0011194E">
        <w:rPr>
          <w:rFonts w:ascii="Arial" w:hAnsi="Arial" w:cs="Arial"/>
          <w:sz w:val="22"/>
          <w:szCs w:val="22"/>
          <w:lang w:val="en-GB"/>
        </w:rPr>
        <w:t>Magnani</w:t>
      </w:r>
      <w:proofErr w:type="spellEnd"/>
      <w:r w:rsidRPr="0011194E">
        <w:rPr>
          <w:rFonts w:ascii="Arial" w:hAnsi="Arial" w:cs="Arial"/>
          <w:sz w:val="22"/>
          <w:szCs w:val="22"/>
          <w:lang w:val="en-GB"/>
        </w:rPr>
        <w:t xml:space="preserve"> B., </w:t>
      </w:r>
      <w:proofErr w:type="spellStart"/>
      <w:r w:rsidRPr="0011194E">
        <w:rPr>
          <w:rFonts w:ascii="Arial" w:hAnsi="Arial" w:cs="Arial"/>
          <w:sz w:val="22"/>
          <w:szCs w:val="22"/>
          <w:lang w:val="en-GB"/>
        </w:rPr>
        <w:t>Rosano</w:t>
      </w:r>
      <w:proofErr w:type="spellEnd"/>
      <w:r w:rsidRPr="0011194E">
        <w:rPr>
          <w:rFonts w:ascii="Arial" w:hAnsi="Arial" w:cs="Arial"/>
          <w:sz w:val="22"/>
          <w:szCs w:val="22"/>
          <w:lang w:val="en-GB"/>
        </w:rPr>
        <w:t xml:space="preserve"> T.G., Shaw L.M.: The Clinical Toxicology Laboratory. Contemporary Practice of Poisoning Evaluation. 2</w:t>
      </w:r>
      <w:r w:rsidRPr="0011194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edition, AACC Press, 2013.</w:t>
      </w:r>
    </w:p>
    <w:p w14:paraId="474CDC38" w14:textId="77777777" w:rsidR="00D37D21" w:rsidRPr="0011194E" w:rsidRDefault="00D37D21" w:rsidP="00240F51">
      <w:pPr>
        <w:pStyle w:val="Akapitzlist"/>
        <w:numPr>
          <w:ilvl w:val="0"/>
          <w:numId w:val="8"/>
        </w:numPr>
        <w:ind w:left="851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Greenberg M.I., Hendrickson R.G., Morocco A., Shrestha M., Bryant S.D.: Medical Toxicology Review, 2</w:t>
      </w:r>
      <w:r w:rsidRPr="0011194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edition, McGraw-Hill Medical Publishing Division, USA, 2006.</w:t>
      </w:r>
    </w:p>
    <w:p w14:paraId="6AA91DF8" w14:textId="39DB798E" w:rsidR="00D37D21" w:rsidRPr="0011194E" w:rsidRDefault="00D37D21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 xml:space="preserve">Each class is passed </w:t>
      </w:r>
      <w:r w:rsidR="00177ED7" w:rsidRPr="0011194E">
        <w:rPr>
          <w:rFonts w:ascii="Arial" w:hAnsi="Arial" w:cs="Arial"/>
          <w:sz w:val="22"/>
          <w:szCs w:val="22"/>
          <w:lang w:val="en-GB"/>
        </w:rPr>
        <w:t>based on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active participation and the knowledge of the material that students are asked to learn. Students who fail a class due to </w:t>
      </w:r>
      <w:r w:rsidR="0011194E" w:rsidRPr="0011194E">
        <w:rPr>
          <w:rFonts w:ascii="Arial" w:hAnsi="Arial" w:cs="Arial"/>
          <w:sz w:val="22"/>
          <w:szCs w:val="22"/>
          <w:lang w:val="en-GB"/>
        </w:rPr>
        <w:t>being unprepared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can pas</w:t>
      </w:r>
      <w:r w:rsidR="003F38F6" w:rsidRPr="0011194E">
        <w:rPr>
          <w:rFonts w:ascii="Arial" w:hAnsi="Arial" w:cs="Arial"/>
          <w:sz w:val="22"/>
          <w:szCs w:val="22"/>
          <w:lang w:val="en-GB"/>
        </w:rPr>
        <w:t>s the class only within 14-day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time </w:t>
      </w:r>
      <w:r w:rsidR="009B5B61" w:rsidRPr="0011194E">
        <w:rPr>
          <w:rFonts w:ascii="Arial" w:hAnsi="Arial" w:cs="Arial"/>
          <w:sz w:val="22"/>
          <w:szCs w:val="22"/>
          <w:lang w:val="en-GB"/>
        </w:rPr>
        <w:t>(</w:t>
      </w:r>
      <w:r w:rsidRPr="0011194E">
        <w:rPr>
          <w:rFonts w:ascii="Arial" w:hAnsi="Arial" w:cs="Arial"/>
          <w:sz w:val="22"/>
          <w:szCs w:val="22"/>
          <w:lang w:val="en-GB"/>
        </w:rPr>
        <w:t>by answering</w:t>
      </w:r>
      <w:r w:rsidR="00C40D33" w:rsidRPr="0011194E">
        <w:rPr>
          <w:rFonts w:ascii="Arial" w:hAnsi="Arial" w:cs="Arial"/>
          <w:sz w:val="22"/>
          <w:szCs w:val="22"/>
          <w:lang w:val="en-GB"/>
        </w:rPr>
        <w:t xml:space="preserve"> or writing a short test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within the range of required material</w:t>
      </w:r>
      <w:r w:rsidR="009B5B61" w:rsidRPr="0011194E">
        <w:rPr>
          <w:rFonts w:ascii="Arial" w:hAnsi="Arial" w:cs="Arial"/>
          <w:sz w:val="22"/>
          <w:szCs w:val="22"/>
          <w:lang w:val="en-GB"/>
        </w:rPr>
        <w:t>)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4EF93D3" w14:textId="47CAADE3" w:rsidR="00D37D21" w:rsidRPr="0011194E" w:rsidRDefault="00D37D21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 xml:space="preserve">The condition </w:t>
      </w:r>
      <w:r w:rsidR="0011194E" w:rsidRPr="0011194E">
        <w:rPr>
          <w:rFonts w:ascii="Arial" w:hAnsi="Arial" w:cs="Arial"/>
          <w:sz w:val="22"/>
          <w:szCs w:val="22"/>
          <w:lang w:val="en-GB"/>
        </w:rPr>
        <w:t>for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11194E" w:rsidRPr="0011194E">
        <w:rPr>
          <w:rFonts w:ascii="Arial" w:hAnsi="Arial" w:cs="Arial"/>
          <w:sz w:val="22"/>
          <w:szCs w:val="22"/>
          <w:lang w:val="en-GB"/>
        </w:rPr>
        <w:t xml:space="preserve">obtaining </w:t>
      </w:r>
      <w:r w:rsidRPr="0011194E">
        <w:rPr>
          <w:rFonts w:ascii="Arial" w:hAnsi="Arial" w:cs="Arial"/>
          <w:sz w:val="22"/>
          <w:szCs w:val="22"/>
          <w:lang w:val="en-GB"/>
        </w:rPr>
        <w:t>a final cre</w:t>
      </w:r>
      <w:r w:rsidR="00DC2F78" w:rsidRPr="0011194E">
        <w:rPr>
          <w:rFonts w:ascii="Arial" w:hAnsi="Arial" w:cs="Arial"/>
          <w:sz w:val="22"/>
          <w:szCs w:val="22"/>
          <w:lang w:val="en-GB"/>
        </w:rPr>
        <w:t>dit of the subject is passing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all scheduled classes and two written tests. Only students having credited classes and participating in lectures will be admitted to these tests. </w:t>
      </w:r>
    </w:p>
    <w:p w14:paraId="2606F29A" w14:textId="2A31E76B" w:rsidR="00790637" w:rsidRPr="0011194E" w:rsidRDefault="00363CCC" w:rsidP="00C17806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Written t</w:t>
      </w:r>
      <w:r w:rsidR="00C76895" w:rsidRPr="0011194E">
        <w:rPr>
          <w:rFonts w:ascii="Arial" w:hAnsi="Arial" w:cs="Arial"/>
          <w:sz w:val="22"/>
          <w:szCs w:val="22"/>
          <w:lang w:val="en-GB"/>
        </w:rPr>
        <w:t>est N</w:t>
      </w:r>
      <w:r w:rsidR="00D37D21" w:rsidRPr="0011194E">
        <w:rPr>
          <w:rFonts w:ascii="Arial" w:hAnsi="Arial" w:cs="Arial"/>
          <w:sz w:val="22"/>
          <w:szCs w:val="22"/>
          <w:lang w:val="en-GB"/>
        </w:rPr>
        <w:t>o I includes</w:t>
      </w:r>
      <w:r w:rsidR="00E24291" w:rsidRPr="0011194E">
        <w:rPr>
          <w:rFonts w:ascii="Arial" w:hAnsi="Arial" w:cs="Arial"/>
          <w:sz w:val="22"/>
          <w:szCs w:val="22"/>
          <w:lang w:val="en-GB"/>
        </w:rPr>
        <w:t xml:space="preserve"> material </w:t>
      </w:r>
      <w:r w:rsidR="0011194E" w:rsidRPr="0011194E">
        <w:rPr>
          <w:rFonts w:ascii="Arial" w:hAnsi="Arial" w:cs="Arial"/>
          <w:sz w:val="22"/>
          <w:szCs w:val="22"/>
          <w:lang w:val="en-GB"/>
        </w:rPr>
        <w:t>from</w:t>
      </w:r>
      <w:r w:rsidR="00E24291" w:rsidRPr="0011194E">
        <w:rPr>
          <w:rFonts w:ascii="Arial" w:hAnsi="Arial" w:cs="Arial"/>
          <w:sz w:val="22"/>
          <w:szCs w:val="22"/>
          <w:lang w:val="en-GB"/>
        </w:rPr>
        <w:t xml:space="preserve"> lectures N</w:t>
      </w:r>
      <w:r w:rsidR="002749F3" w:rsidRPr="0011194E">
        <w:rPr>
          <w:rFonts w:ascii="Arial" w:hAnsi="Arial" w:cs="Arial"/>
          <w:sz w:val="22"/>
          <w:szCs w:val="22"/>
          <w:lang w:val="en-GB"/>
        </w:rPr>
        <w:t>o</w:t>
      </w:r>
      <w:r w:rsidR="00E24291" w:rsidRPr="0011194E">
        <w:rPr>
          <w:rFonts w:ascii="Arial" w:hAnsi="Arial" w:cs="Arial"/>
          <w:sz w:val="22"/>
          <w:szCs w:val="22"/>
          <w:lang w:val="en-GB"/>
        </w:rPr>
        <w:t xml:space="preserve"> 1 and 2 and classes N</w:t>
      </w:r>
      <w:r w:rsidR="00D37D21" w:rsidRPr="0011194E">
        <w:rPr>
          <w:rFonts w:ascii="Arial" w:hAnsi="Arial" w:cs="Arial"/>
          <w:sz w:val="22"/>
          <w:szCs w:val="22"/>
          <w:lang w:val="en-GB"/>
        </w:rPr>
        <w:t>o</w:t>
      </w:r>
      <w:r w:rsidR="00C76895" w:rsidRPr="0011194E">
        <w:rPr>
          <w:rFonts w:ascii="Arial" w:hAnsi="Arial" w:cs="Arial"/>
          <w:sz w:val="22"/>
          <w:szCs w:val="22"/>
          <w:lang w:val="en-GB"/>
        </w:rPr>
        <w:t xml:space="preserve"> 1 and 2, whereas 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written </w:t>
      </w:r>
      <w:r w:rsidR="00C76895" w:rsidRPr="0011194E">
        <w:rPr>
          <w:rFonts w:ascii="Arial" w:hAnsi="Arial" w:cs="Arial"/>
          <w:sz w:val="22"/>
          <w:szCs w:val="22"/>
          <w:lang w:val="en-GB"/>
        </w:rPr>
        <w:t>test N</w:t>
      </w:r>
      <w:r w:rsidR="002749F3" w:rsidRPr="0011194E">
        <w:rPr>
          <w:rFonts w:ascii="Arial" w:hAnsi="Arial" w:cs="Arial"/>
          <w:sz w:val="22"/>
          <w:szCs w:val="22"/>
          <w:lang w:val="en-GB"/>
        </w:rPr>
        <w:t xml:space="preserve">o </w:t>
      </w:r>
      <w:r w:rsidR="00D37D21" w:rsidRPr="0011194E">
        <w:rPr>
          <w:rFonts w:ascii="Arial" w:hAnsi="Arial" w:cs="Arial"/>
          <w:sz w:val="22"/>
          <w:szCs w:val="22"/>
          <w:lang w:val="en-GB"/>
        </w:rPr>
        <w:t>II i</w:t>
      </w:r>
      <w:r w:rsidR="00E24291" w:rsidRPr="0011194E">
        <w:rPr>
          <w:rFonts w:ascii="Arial" w:hAnsi="Arial" w:cs="Arial"/>
          <w:sz w:val="22"/>
          <w:szCs w:val="22"/>
          <w:lang w:val="en-GB"/>
        </w:rPr>
        <w:t xml:space="preserve">ncludes material </w:t>
      </w:r>
      <w:r w:rsidR="0011194E" w:rsidRPr="0011194E">
        <w:rPr>
          <w:rFonts w:ascii="Arial" w:hAnsi="Arial" w:cs="Arial"/>
          <w:sz w:val="22"/>
          <w:szCs w:val="22"/>
          <w:lang w:val="en-GB"/>
        </w:rPr>
        <w:t>from</w:t>
      </w:r>
      <w:r w:rsidR="00E24291" w:rsidRPr="0011194E">
        <w:rPr>
          <w:rFonts w:ascii="Arial" w:hAnsi="Arial" w:cs="Arial"/>
          <w:sz w:val="22"/>
          <w:szCs w:val="22"/>
          <w:lang w:val="en-GB"/>
        </w:rPr>
        <w:t xml:space="preserve"> classes No 3 -</w:t>
      </w:r>
      <w:r w:rsidR="003F38F6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5. </w:t>
      </w:r>
      <w:r w:rsidR="00C41FF6" w:rsidRPr="0011194E">
        <w:rPr>
          <w:rFonts w:ascii="Arial" w:hAnsi="Arial" w:cs="Arial"/>
          <w:sz w:val="22"/>
          <w:szCs w:val="22"/>
          <w:lang w:val="en-GB"/>
        </w:rPr>
        <w:t>Each test consists of</w:t>
      </w:r>
      <w:r w:rsidR="0063680F" w:rsidRPr="0011194E">
        <w:rPr>
          <w:rFonts w:ascii="Arial" w:hAnsi="Arial" w:cs="Arial"/>
          <w:sz w:val="22"/>
          <w:szCs w:val="22"/>
          <w:lang w:val="en-GB"/>
        </w:rPr>
        <w:t xml:space="preserve"> 2</w:t>
      </w:r>
      <w:r w:rsidR="00177ED7" w:rsidRPr="0011194E">
        <w:rPr>
          <w:rFonts w:ascii="Arial" w:hAnsi="Arial" w:cs="Arial"/>
          <w:sz w:val="22"/>
          <w:szCs w:val="22"/>
          <w:lang w:val="en-GB"/>
        </w:rPr>
        <w:t>0</w:t>
      </w:r>
      <w:r w:rsidR="00AF5B74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2E37C3">
        <w:rPr>
          <w:rFonts w:ascii="Arial" w:hAnsi="Arial" w:cs="Arial"/>
          <w:sz w:val="22"/>
          <w:szCs w:val="22"/>
          <w:lang w:val="en-GB"/>
        </w:rPr>
        <w:t>single</w:t>
      </w:r>
      <w:r w:rsidR="0011194E" w:rsidRPr="0011194E">
        <w:rPr>
          <w:rFonts w:ascii="Arial" w:hAnsi="Arial" w:cs="Arial"/>
          <w:sz w:val="22"/>
          <w:szCs w:val="22"/>
          <w:lang w:val="en-GB"/>
        </w:rPr>
        <w:t>-choice</w:t>
      </w:r>
      <w:r w:rsidR="00AF5B74" w:rsidRPr="0011194E">
        <w:rPr>
          <w:rFonts w:ascii="Arial" w:hAnsi="Arial" w:cs="Arial"/>
          <w:sz w:val="22"/>
          <w:szCs w:val="22"/>
          <w:lang w:val="en-GB"/>
        </w:rPr>
        <w:t xml:space="preserve"> questions</w:t>
      </w:r>
      <w:r w:rsidR="0063680F" w:rsidRPr="0011194E">
        <w:rPr>
          <w:rFonts w:ascii="Arial" w:hAnsi="Arial" w:cs="Arial"/>
          <w:sz w:val="22"/>
          <w:szCs w:val="22"/>
          <w:lang w:val="en-GB"/>
        </w:rPr>
        <w:t xml:space="preserve"> and lasts </w:t>
      </w:r>
      <w:r w:rsidR="002B79C6">
        <w:rPr>
          <w:rFonts w:ascii="Arial" w:hAnsi="Arial" w:cs="Arial"/>
          <w:sz w:val="22"/>
          <w:szCs w:val="22"/>
          <w:lang w:val="en-GB"/>
        </w:rPr>
        <w:t>15</w:t>
      </w:r>
      <w:bookmarkStart w:id="0" w:name="_GoBack"/>
      <w:bookmarkEnd w:id="0"/>
      <w:r w:rsidR="0063680F" w:rsidRPr="0011194E">
        <w:rPr>
          <w:rFonts w:ascii="Arial" w:hAnsi="Arial" w:cs="Arial"/>
          <w:sz w:val="22"/>
          <w:szCs w:val="22"/>
          <w:lang w:val="en-GB"/>
        </w:rPr>
        <w:t xml:space="preserve"> minutes</w:t>
      </w:r>
      <w:r w:rsidR="00AF5B74" w:rsidRPr="0011194E">
        <w:rPr>
          <w:rFonts w:ascii="Arial" w:hAnsi="Arial" w:cs="Arial"/>
          <w:sz w:val="22"/>
          <w:szCs w:val="22"/>
          <w:lang w:val="en-GB"/>
        </w:rPr>
        <w:t xml:space="preserve">. </w:t>
      </w:r>
      <w:r w:rsidR="0011194E">
        <w:rPr>
          <w:rFonts w:ascii="Arial" w:hAnsi="Arial" w:cs="Arial"/>
          <w:sz w:val="22"/>
          <w:szCs w:val="22"/>
          <w:lang w:val="en-GB"/>
        </w:rPr>
        <w:t>Students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may receive </w:t>
      </w:r>
      <w:r w:rsidR="008E2EEF">
        <w:rPr>
          <w:rFonts w:ascii="Arial" w:hAnsi="Arial" w:cs="Arial"/>
          <w:sz w:val="22"/>
          <w:szCs w:val="22"/>
          <w:lang w:val="en-GB"/>
        </w:rPr>
        <w:t>a</w:t>
      </w:r>
      <w:r w:rsid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maximum </w:t>
      </w:r>
      <w:r w:rsidR="008E2EEF">
        <w:rPr>
          <w:rFonts w:ascii="Arial" w:hAnsi="Arial" w:cs="Arial"/>
          <w:sz w:val="22"/>
          <w:szCs w:val="22"/>
          <w:lang w:val="en-GB"/>
        </w:rPr>
        <w:t xml:space="preserve">of </w:t>
      </w:r>
      <w:r w:rsidR="00D37D21" w:rsidRPr="0011194E">
        <w:rPr>
          <w:rFonts w:ascii="Arial" w:hAnsi="Arial" w:cs="Arial"/>
          <w:sz w:val="22"/>
          <w:szCs w:val="22"/>
          <w:lang w:val="en-GB"/>
        </w:rPr>
        <w:t>1 point for each correct answer (</w:t>
      </w:r>
      <w:r w:rsidR="0063680F" w:rsidRPr="0011194E">
        <w:rPr>
          <w:rFonts w:ascii="Arial" w:hAnsi="Arial" w:cs="Arial"/>
          <w:sz w:val="22"/>
          <w:szCs w:val="22"/>
          <w:lang w:val="en-GB"/>
        </w:rPr>
        <w:t>2</w:t>
      </w:r>
      <w:r w:rsidR="00177ED7" w:rsidRPr="0011194E">
        <w:rPr>
          <w:rFonts w:ascii="Arial" w:hAnsi="Arial" w:cs="Arial"/>
          <w:sz w:val="22"/>
          <w:szCs w:val="22"/>
          <w:lang w:val="en-GB"/>
        </w:rPr>
        <w:t>0</w:t>
      </w:r>
      <w:r w:rsidR="00AF5B74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points in total) and </w:t>
      </w:r>
      <w:r w:rsidR="0011194E">
        <w:rPr>
          <w:rFonts w:ascii="Arial" w:hAnsi="Arial" w:cs="Arial"/>
          <w:sz w:val="22"/>
          <w:szCs w:val="22"/>
          <w:lang w:val="en-GB"/>
        </w:rPr>
        <w:t xml:space="preserve">a </w:t>
      </w:r>
      <w:r w:rsidR="00D37D21" w:rsidRPr="0011194E">
        <w:rPr>
          <w:rFonts w:ascii="Arial" w:hAnsi="Arial" w:cs="Arial"/>
          <w:sz w:val="22"/>
          <w:szCs w:val="22"/>
          <w:lang w:val="en-GB"/>
        </w:rPr>
        <w:t>minimum</w:t>
      </w:r>
      <w:r w:rsid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8E2EEF">
        <w:rPr>
          <w:rFonts w:ascii="Arial" w:hAnsi="Arial" w:cs="Arial"/>
          <w:sz w:val="22"/>
          <w:szCs w:val="22"/>
          <w:lang w:val="en-GB"/>
        </w:rPr>
        <w:t xml:space="preserve">of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60% of </w:t>
      </w:r>
      <w:r w:rsidR="008E2EEF">
        <w:rPr>
          <w:rFonts w:ascii="Arial" w:hAnsi="Arial" w:cs="Arial"/>
          <w:sz w:val="22"/>
          <w:szCs w:val="22"/>
          <w:lang w:val="en-GB"/>
        </w:rPr>
        <w:t xml:space="preserve">the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total </w:t>
      </w:r>
      <w:r w:rsidR="008E2EEF">
        <w:rPr>
          <w:rFonts w:ascii="Arial" w:hAnsi="Arial" w:cs="Arial"/>
          <w:sz w:val="22"/>
          <w:szCs w:val="22"/>
          <w:lang w:val="en-GB"/>
        </w:rPr>
        <w:t xml:space="preserve">number of </w:t>
      </w:r>
      <w:r w:rsidR="00D37D21" w:rsidRPr="0011194E">
        <w:rPr>
          <w:rFonts w:ascii="Arial" w:hAnsi="Arial" w:cs="Arial"/>
          <w:sz w:val="22"/>
          <w:szCs w:val="22"/>
          <w:lang w:val="en-GB"/>
        </w:rPr>
        <w:t>points (</w:t>
      </w:r>
      <w:r w:rsidR="0063680F" w:rsidRPr="0011194E">
        <w:rPr>
          <w:rFonts w:ascii="Arial" w:hAnsi="Arial" w:cs="Arial"/>
          <w:sz w:val="22"/>
          <w:szCs w:val="22"/>
          <w:lang w:val="en-GB"/>
        </w:rPr>
        <w:t>1</w:t>
      </w:r>
      <w:r w:rsidR="00177ED7" w:rsidRPr="0011194E">
        <w:rPr>
          <w:rFonts w:ascii="Arial" w:hAnsi="Arial" w:cs="Arial"/>
          <w:sz w:val="22"/>
          <w:szCs w:val="22"/>
          <w:lang w:val="en-GB"/>
        </w:rPr>
        <w:t>2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points) </w:t>
      </w:r>
      <w:r w:rsidR="00D37D21" w:rsidRPr="0011194E">
        <w:rPr>
          <w:rStyle w:val="Pogrubienie"/>
          <w:rFonts w:ascii="Arial" w:hAnsi="Arial" w:cs="Arial"/>
          <w:b w:val="0"/>
          <w:sz w:val="22"/>
          <w:szCs w:val="22"/>
          <w:lang w:val="en-GB"/>
        </w:rPr>
        <w:t xml:space="preserve">are required to pass the </w:t>
      </w:r>
      <w:r w:rsidR="009435E1" w:rsidRPr="0011194E">
        <w:rPr>
          <w:rStyle w:val="Pogrubienie"/>
          <w:rFonts w:ascii="Arial" w:hAnsi="Arial" w:cs="Arial"/>
          <w:b w:val="0"/>
          <w:sz w:val="22"/>
          <w:szCs w:val="22"/>
          <w:lang w:val="en-GB"/>
        </w:rPr>
        <w:t xml:space="preserve">written </w:t>
      </w:r>
      <w:r w:rsidR="00D37D21" w:rsidRPr="0011194E">
        <w:rPr>
          <w:rStyle w:val="Pogrubienie"/>
          <w:rFonts w:ascii="Arial" w:hAnsi="Arial" w:cs="Arial"/>
          <w:b w:val="0"/>
          <w:sz w:val="22"/>
          <w:szCs w:val="22"/>
          <w:lang w:val="en-GB"/>
        </w:rPr>
        <w:t>test. There are no marks.</w:t>
      </w:r>
      <w:r w:rsidR="000C4B0B" w:rsidRPr="0011194E">
        <w:rPr>
          <w:rStyle w:val="Pogrubienie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C17806" w:rsidRPr="0011194E">
        <w:rPr>
          <w:rStyle w:val="Pogrubienie"/>
          <w:rFonts w:ascii="Arial" w:hAnsi="Arial" w:cs="Arial"/>
          <w:b w:val="0"/>
          <w:sz w:val="22"/>
          <w:szCs w:val="22"/>
          <w:lang w:val="en-GB"/>
        </w:rPr>
        <w:t xml:space="preserve">The results of the tests will be available </w:t>
      </w:r>
      <w:r w:rsidR="00C17806" w:rsidRPr="0011194E">
        <w:rPr>
          <w:rFonts w:ascii="Arial" w:hAnsi="Arial" w:cs="Arial"/>
          <w:sz w:val="22"/>
          <w:szCs w:val="22"/>
          <w:lang w:val="en-GB"/>
        </w:rPr>
        <w:t xml:space="preserve">on the </w:t>
      </w:r>
      <w:r w:rsidR="0063680F" w:rsidRPr="0011194E">
        <w:rPr>
          <w:rFonts w:ascii="Arial" w:hAnsi="Arial" w:cs="Arial"/>
          <w:sz w:val="22"/>
          <w:szCs w:val="22"/>
          <w:lang w:val="en-GB"/>
        </w:rPr>
        <w:t xml:space="preserve">Blackboard </w:t>
      </w:r>
      <w:r w:rsidR="00C17806" w:rsidRPr="0011194E">
        <w:rPr>
          <w:rFonts w:ascii="Arial" w:hAnsi="Arial" w:cs="Arial"/>
          <w:sz w:val="22"/>
          <w:szCs w:val="22"/>
          <w:lang w:val="en-GB"/>
        </w:rPr>
        <w:t>following the confidentiality of personal data.</w:t>
      </w:r>
    </w:p>
    <w:p w14:paraId="7395B59D" w14:textId="76E6298D" w:rsidR="00D37D21" w:rsidRPr="0011194E" w:rsidRDefault="00D37D21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In the case of justified absence (doctor’s leave, dean's leave) at a lecture, class</w:t>
      </w:r>
      <w:r w:rsidR="008E2EEF">
        <w:rPr>
          <w:rFonts w:ascii="Arial" w:hAnsi="Arial" w:cs="Arial"/>
          <w:sz w:val="22"/>
          <w:szCs w:val="22"/>
          <w:lang w:val="en-GB"/>
        </w:rPr>
        <w:t>,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or written test, a student can get credit by answering within the range of required material or sitting for the test within 14 days (after earlier co-ordination with the </w:t>
      </w:r>
      <w:r w:rsidR="00E24291" w:rsidRPr="0011194E">
        <w:rPr>
          <w:rFonts w:ascii="Arial" w:hAnsi="Arial" w:cs="Arial"/>
          <w:sz w:val="22"/>
          <w:szCs w:val="22"/>
          <w:lang w:val="en-GB"/>
        </w:rPr>
        <w:t>teacher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). A student should justify the absence </w:t>
      </w:r>
      <w:r w:rsidR="008E2EEF">
        <w:rPr>
          <w:rFonts w:ascii="Arial" w:hAnsi="Arial" w:cs="Arial"/>
          <w:sz w:val="22"/>
          <w:szCs w:val="22"/>
          <w:lang w:val="en-GB"/>
        </w:rPr>
        <w:t>no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later than the next class after receding its reason.</w:t>
      </w:r>
    </w:p>
    <w:p w14:paraId="592FB9D2" w14:textId="77777777" w:rsidR="002B79C6" w:rsidRDefault="00D37D21" w:rsidP="002B79C6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 xml:space="preserve">Students can improve failed </w:t>
      </w:r>
      <w:r w:rsidR="008E2EEF">
        <w:rPr>
          <w:rFonts w:ascii="Arial" w:hAnsi="Arial" w:cs="Arial"/>
          <w:sz w:val="22"/>
          <w:szCs w:val="22"/>
          <w:lang w:val="en-GB"/>
        </w:rPr>
        <w:t>tests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within 1</w:t>
      </w:r>
      <w:r w:rsidR="003F38F6" w:rsidRPr="0011194E">
        <w:rPr>
          <w:rFonts w:ascii="Arial" w:hAnsi="Arial" w:cs="Arial"/>
          <w:sz w:val="22"/>
          <w:szCs w:val="22"/>
          <w:lang w:val="en-GB"/>
        </w:rPr>
        <w:t>4-day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time </w:t>
      </w:r>
      <w:r w:rsidR="008E2EEF">
        <w:rPr>
          <w:rFonts w:ascii="Arial" w:hAnsi="Arial" w:cs="Arial"/>
          <w:sz w:val="22"/>
          <w:szCs w:val="22"/>
          <w:lang w:val="en-GB"/>
        </w:rPr>
        <w:t>from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the date of </w:t>
      </w:r>
      <w:r w:rsidR="008E2EEF" w:rsidRPr="0011194E">
        <w:rPr>
          <w:rFonts w:ascii="Arial" w:hAnsi="Arial" w:cs="Arial"/>
          <w:sz w:val="22"/>
          <w:szCs w:val="22"/>
          <w:lang w:val="en-GB"/>
        </w:rPr>
        <w:t xml:space="preserve">obtaining </w:t>
      </w:r>
      <w:r w:rsidR="008E2EE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results. A student is entitled to only one term of </w:t>
      </w:r>
      <w:r w:rsidR="008E2EEF" w:rsidRPr="0011194E">
        <w:rPr>
          <w:rFonts w:ascii="Arial" w:hAnsi="Arial" w:cs="Arial"/>
          <w:sz w:val="22"/>
          <w:szCs w:val="22"/>
          <w:lang w:val="en-GB"/>
        </w:rPr>
        <w:t xml:space="preserve">the test 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improvement. </w:t>
      </w:r>
    </w:p>
    <w:p w14:paraId="3D939EE3" w14:textId="7E1899E7" w:rsidR="002B79C6" w:rsidRPr="002B79C6" w:rsidRDefault="002B79C6" w:rsidP="002B79C6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2B79C6">
        <w:rPr>
          <w:rFonts w:ascii="Arial" w:hAnsi="Arial" w:cs="Arial"/>
          <w:sz w:val="22"/>
          <w:szCs w:val="22"/>
          <w:lang w:val="en-GB"/>
        </w:rPr>
        <w:lastRenderedPageBreak/>
        <w:t xml:space="preserve">Students who pass all the </w:t>
      </w:r>
      <w:r>
        <w:rPr>
          <w:rFonts w:ascii="Arial" w:hAnsi="Arial" w:cs="Arial"/>
          <w:sz w:val="22"/>
          <w:szCs w:val="22"/>
          <w:lang w:val="en-GB"/>
        </w:rPr>
        <w:t>classes</w:t>
      </w:r>
      <w:r w:rsidRPr="002B79C6">
        <w:rPr>
          <w:rFonts w:ascii="Arial" w:hAnsi="Arial" w:cs="Arial"/>
          <w:sz w:val="22"/>
          <w:szCs w:val="22"/>
          <w:lang w:val="en-GB"/>
        </w:rPr>
        <w:t xml:space="preserve"> and, after taking the opportunity to improve, fail one of the two </w:t>
      </w:r>
      <w:r>
        <w:rPr>
          <w:rFonts w:ascii="Arial" w:hAnsi="Arial" w:cs="Arial"/>
          <w:sz w:val="22"/>
          <w:szCs w:val="22"/>
          <w:lang w:val="en-GB"/>
        </w:rPr>
        <w:t xml:space="preserve">written </w:t>
      </w:r>
      <w:r w:rsidRPr="002B79C6">
        <w:rPr>
          <w:rFonts w:ascii="Arial" w:hAnsi="Arial" w:cs="Arial"/>
          <w:sz w:val="22"/>
          <w:szCs w:val="22"/>
          <w:lang w:val="en-GB"/>
        </w:rPr>
        <w:t xml:space="preserve">tests, will be able to take a </w:t>
      </w:r>
      <w:r>
        <w:rPr>
          <w:rFonts w:ascii="Arial" w:hAnsi="Arial" w:cs="Arial"/>
          <w:sz w:val="22"/>
          <w:szCs w:val="22"/>
          <w:lang w:val="en-GB"/>
        </w:rPr>
        <w:t xml:space="preserve">retake </w:t>
      </w:r>
      <w:r w:rsidRPr="002B79C6">
        <w:rPr>
          <w:rFonts w:ascii="Arial" w:hAnsi="Arial" w:cs="Arial"/>
          <w:sz w:val="22"/>
          <w:szCs w:val="22"/>
          <w:lang w:val="en-GB"/>
        </w:rPr>
        <w:t>test covering the failed material (only one date!). Passing this test in the first attempt is a condition for passing the</w:t>
      </w:r>
      <w:r>
        <w:rPr>
          <w:rFonts w:ascii="Arial" w:hAnsi="Arial" w:cs="Arial"/>
          <w:sz w:val="22"/>
          <w:szCs w:val="22"/>
          <w:lang w:val="en-GB"/>
        </w:rPr>
        <w:t xml:space="preserve"> whole</w:t>
      </w:r>
      <w:r w:rsidRPr="002B79C6">
        <w:rPr>
          <w:rFonts w:ascii="Arial" w:hAnsi="Arial" w:cs="Arial"/>
          <w:sz w:val="22"/>
          <w:szCs w:val="22"/>
          <w:lang w:val="en-GB"/>
        </w:rPr>
        <w:t xml:space="preserve"> course.</w:t>
      </w:r>
    </w:p>
    <w:p w14:paraId="3554C0B3" w14:textId="06E69805" w:rsidR="00C17806" w:rsidRPr="0011194E" w:rsidRDefault="00C17806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>Student</w:t>
      </w:r>
      <w:r w:rsidR="009B20E2" w:rsidRPr="0011194E">
        <w:rPr>
          <w:rFonts w:ascii="Arial" w:hAnsi="Arial" w:cs="Arial"/>
          <w:sz w:val="22"/>
          <w:szCs w:val="22"/>
          <w:lang w:val="en-GB"/>
        </w:rPr>
        <w:t>s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ha</w:t>
      </w:r>
      <w:r w:rsidR="009B20E2" w:rsidRPr="0011194E">
        <w:rPr>
          <w:rFonts w:ascii="Arial" w:hAnsi="Arial" w:cs="Arial"/>
          <w:sz w:val="22"/>
          <w:szCs w:val="22"/>
          <w:lang w:val="en-GB"/>
        </w:rPr>
        <w:t>ve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the right to </w:t>
      </w:r>
      <w:r w:rsidR="009B3E54" w:rsidRPr="0011194E">
        <w:rPr>
          <w:rFonts w:ascii="Arial" w:hAnsi="Arial" w:cs="Arial"/>
          <w:sz w:val="22"/>
          <w:szCs w:val="22"/>
          <w:lang w:val="en-GB"/>
        </w:rPr>
        <w:t xml:space="preserve">inspect </w:t>
      </w:r>
      <w:r w:rsidR="007A3D7C">
        <w:rPr>
          <w:rFonts w:ascii="Arial" w:hAnsi="Arial" w:cs="Arial"/>
          <w:sz w:val="22"/>
          <w:szCs w:val="22"/>
          <w:lang w:val="en-GB"/>
        </w:rPr>
        <w:t>their tests</w:t>
      </w:r>
      <w:r w:rsidR="009B3E54" w:rsidRPr="0011194E">
        <w:rPr>
          <w:rFonts w:ascii="Arial" w:hAnsi="Arial" w:cs="Arial"/>
          <w:sz w:val="22"/>
          <w:szCs w:val="22"/>
          <w:lang w:val="en-GB"/>
        </w:rPr>
        <w:t xml:space="preserve"> within 7 days </w:t>
      </w:r>
      <w:r w:rsidR="009B3E54" w:rsidRPr="0011194E">
        <w:rPr>
          <w:rStyle w:val="tlid-translation"/>
          <w:rFonts w:ascii="Arial" w:hAnsi="Arial" w:cs="Arial"/>
          <w:sz w:val="22"/>
          <w:szCs w:val="22"/>
          <w:lang w:val="en-GB"/>
        </w:rPr>
        <w:t>from the date of the announcement of the results.</w:t>
      </w:r>
    </w:p>
    <w:p w14:paraId="0B288C51" w14:textId="746C0604" w:rsidR="00EE30B4" w:rsidRPr="0011194E" w:rsidRDefault="00CA5A20" w:rsidP="00EE30B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Style w:val="tlid-translation"/>
          <w:rFonts w:ascii="Arial" w:hAnsi="Arial" w:cs="Arial"/>
          <w:sz w:val="22"/>
          <w:szCs w:val="22"/>
          <w:lang w:val="en-GB"/>
        </w:rPr>
      </w:pPr>
      <w:r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The student is obliged to comply </w:t>
      </w:r>
      <w:r w:rsidR="00EB600A" w:rsidRPr="0011194E">
        <w:rPr>
          <w:rStyle w:val="tlid-translation"/>
          <w:rFonts w:ascii="Arial" w:hAnsi="Arial" w:cs="Arial"/>
          <w:sz w:val="22"/>
          <w:szCs w:val="22"/>
          <w:lang w:val="en-GB"/>
        </w:rPr>
        <w:t>with the</w:t>
      </w:r>
      <w:r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ban </w:t>
      </w:r>
      <w:r w:rsidR="007A3D7C">
        <w:rPr>
          <w:rStyle w:val="tlid-translation"/>
          <w:rFonts w:ascii="Arial" w:hAnsi="Arial" w:cs="Arial"/>
          <w:sz w:val="22"/>
          <w:szCs w:val="22"/>
          <w:lang w:val="en-GB"/>
        </w:rPr>
        <w:t>on</w:t>
      </w:r>
      <w:r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having or using </w:t>
      </w:r>
      <w:r w:rsidR="00EB600A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unauthorized </w:t>
      </w:r>
      <w:r w:rsidRPr="0011194E">
        <w:rPr>
          <w:rStyle w:val="tlid-translation"/>
          <w:rFonts w:ascii="Arial" w:hAnsi="Arial" w:cs="Arial"/>
          <w:sz w:val="22"/>
          <w:szCs w:val="22"/>
          <w:lang w:val="en-GB"/>
        </w:rPr>
        <w:t>aids, inc</w:t>
      </w:r>
      <w:r w:rsidR="00EB600A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luding </w:t>
      </w:r>
      <w:r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all </w:t>
      </w:r>
      <w:r w:rsidR="00EB600A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electronic devices, </w:t>
      </w:r>
      <w:r w:rsidR="007A3D7C">
        <w:rPr>
          <w:rStyle w:val="tlid-translation"/>
          <w:rFonts w:ascii="Arial" w:hAnsi="Arial" w:cs="Arial"/>
          <w:sz w:val="22"/>
          <w:szCs w:val="22"/>
          <w:lang w:val="en-GB"/>
        </w:rPr>
        <w:t xml:space="preserve">and </w:t>
      </w:r>
      <w:r w:rsidR="00EB600A" w:rsidRPr="0011194E">
        <w:rPr>
          <w:rStyle w:val="tlid-translation"/>
          <w:rFonts w:ascii="Arial" w:hAnsi="Arial" w:cs="Arial"/>
          <w:sz w:val="22"/>
          <w:szCs w:val="22"/>
          <w:lang w:val="en-GB"/>
        </w:rPr>
        <w:t>accessories for such devices, during tests and other forms of checking knowledge</w:t>
      </w:r>
      <w:r w:rsidR="008901A0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. </w:t>
      </w:r>
      <w:r w:rsidR="00455B09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During the </w:t>
      </w:r>
      <w:r w:rsidR="009435E1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written </w:t>
      </w:r>
      <w:r w:rsidR="00455B09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tests, students are not allowed to use any form of </w:t>
      </w:r>
      <w:r w:rsidR="00AC166D" w:rsidRPr="0011194E">
        <w:rPr>
          <w:rStyle w:val="tlid-translation"/>
          <w:rFonts w:ascii="Arial" w:hAnsi="Arial" w:cs="Arial"/>
          <w:sz w:val="22"/>
          <w:szCs w:val="22"/>
          <w:lang w:val="en-GB"/>
        </w:rPr>
        <w:t>forbidden</w:t>
      </w:r>
      <w:r w:rsidR="00455B09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help</w:t>
      </w:r>
      <w:r w:rsidR="00F66B28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i.e. </w:t>
      </w:r>
      <w:r w:rsidR="00455B09" w:rsidRPr="0011194E">
        <w:rPr>
          <w:rStyle w:val="tlid-translation"/>
          <w:rFonts w:ascii="Arial" w:hAnsi="Arial" w:cs="Arial"/>
          <w:sz w:val="22"/>
          <w:szCs w:val="22"/>
          <w:lang w:val="en-GB"/>
        </w:rPr>
        <w:t>notes, books, scripts,</w:t>
      </w:r>
      <w:r w:rsidR="00F66B28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and other supporting materials such as</w:t>
      </w:r>
      <w:r w:rsidR="00455B09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electronic devices for remote communication (radiotelephones, wal</w:t>
      </w:r>
      <w:r w:rsidR="00F66B28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kie-talkies, </w:t>
      </w:r>
      <w:r w:rsidR="00EE30B4" w:rsidRPr="0011194E">
        <w:rPr>
          <w:rStyle w:val="tlid-translation"/>
          <w:rFonts w:ascii="Arial" w:hAnsi="Arial" w:cs="Arial"/>
          <w:sz w:val="22"/>
          <w:szCs w:val="22"/>
          <w:lang w:val="en-GB"/>
        </w:rPr>
        <w:t>mobile</w:t>
      </w:r>
      <w:r w:rsidR="00F66B28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phones, etc.) and</w:t>
      </w:r>
      <w:r w:rsidR="00455B09" w:rsidRPr="0011194E">
        <w:rPr>
          <w:rStyle w:val="tlid-translation"/>
          <w:rFonts w:ascii="Arial" w:hAnsi="Arial" w:cs="Arial"/>
          <w:sz w:val="22"/>
          <w:szCs w:val="22"/>
          <w:lang w:val="en-GB"/>
        </w:rPr>
        <w:t xml:space="preserve"> devices for collecting information (tape recorders, players, computers, etc.).</w:t>
      </w:r>
    </w:p>
    <w:p w14:paraId="2D9BC928" w14:textId="34F46925" w:rsidR="00D37D21" w:rsidRPr="0011194E" w:rsidRDefault="007A3D7C" w:rsidP="0079063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should get all credits during the semester (</w:t>
      </w:r>
      <w:r w:rsidR="00507052" w:rsidRPr="0011194E">
        <w:rPr>
          <w:rFonts w:ascii="Arial" w:hAnsi="Arial" w:cs="Arial"/>
          <w:sz w:val="22"/>
          <w:szCs w:val="22"/>
          <w:lang w:val="en-GB"/>
        </w:rPr>
        <w:t>19</w:t>
      </w:r>
      <w:r w:rsidR="00D37D21" w:rsidRPr="0011194E">
        <w:rPr>
          <w:rFonts w:ascii="Arial" w:hAnsi="Arial" w:cs="Arial"/>
          <w:sz w:val="22"/>
          <w:szCs w:val="22"/>
          <w:lang w:val="en-GB"/>
        </w:rPr>
        <w:t>.</w:t>
      </w:r>
      <w:r w:rsidR="00790637" w:rsidRPr="0011194E">
        <w:rPr>
          <w:rFonts w:ascii="Arial" w:hAnsi="Arial" w:cs="Arial"/>
          <w:sz w:val="22"/>
          <w:szCs w:val="22"/>
          <w:lang w:val="en-GB"/>
        </w:rPr>
        <w:t>02.20</w:t>
      </w:r>
      <w:r w:rsidR="008D4743" w:rsidRPr="0011194E">
        <w:rPr>
          <w:rFonts w:ascii="Arial" w:hAnsi="Arial" w:cs="Arial"/>
          <w:sz w:val="22"/>
          <w:szCs w:val="22"/>
          <w:lang w:val="en-GB"/>
        </w:rPr>
        <w:t>2</w:t>
      </w:r>
      <w:r w:rsidR="00507052" w:rsidRPr="0011194E">
        <w:rPr>
          <w:rFonts w:ascii="Arial" w:hAnsi="Arial" w:cs="Arial"/>
          <w:sz w:val="22"/>
          <w:szCs w:val="22"/>
          <w:lang w:val="en-GB"/>
        </w:rPr>
        <w:t>4</w:t>
      </w:r>
      <w:r w:rsidR="009D2CF3" w:rsidRPr="0011194E">
        <w:rPr>
          <w:rFonts w:ascii="Arial" w:hAnsi="Arial" w:cs="Arial"/>
          <w:sz w:val="22"/>
          <w:szCs w:val="22"/>
          <w:lang w:val="en-GB"/>
        </w:rPr>
        <w:t xml:space="preserve"> - </w:t>
      </w:r>
      <w:r w:rsidR="003F6056" w:rsidRPr="0011194E">
        <w:rPr>
          <w:rFonts w:ascii="Arial" w:hAnsi="Arial" w:cs="Arial"/>
          <w:sz w:val="22"/>
          <w:szCs w:val="22"/>
          <w:lang w:val="en-GB"/>
        </w:rPr>
        <w:t>30</w:t>
      </w:r>
      <w:r w:rsidR="009D2CF3" w:rsidRPr="0011194E">
        <w:rPr>
          <w:rFonts w:ascii="Arial" w:hAnsi="Arial" w:cs="Arial"/>
          <w:sz w:val="22"/>
          <w:szCs w:val="22"/>
          <w:lang w:val="en-GB"/>
        </w:rPr>
        <w:t>.06</w:t>
      </w:r>
      <w:r w:rsidR="00790637" w:rsidRPr="0011194E">
        <w:rPr>
          <w:rFonts w:ascii="Arial" w:hAnsi="Arial" w:cs="Arial"/>
          <w:sz w:val="22"/>
          <w:szCs w:val="22"/>
          <w:lang w:val="en-GB"/>
        </w:rPr>
        <w:t>.20</w:t>
      </w:r>
      <w:r w:rsidR="008D4743" w:rsidRPr="0011194E">
        <w:rPr>
          <w:rFonts w:ascii="Arial" w:hAnsi="Arial" w:cs="Arial"/>
          <w:sz w:val="22"/>
          <w:szCs w:val="22"/>
          <w:lang w:val="en-GB"/>
        </w:rPr>
        <w:t>2</w:t>
      </w:r>
      <w:r w:rsidR="00507052" w:rsidRPr="0011194E">
        <w:rPr>
          <w:rFonts w:ascii="Arial" w:hAnsi="Arial" w:cs="Arial"/>
          <w:sz w:val="22"/>
          <w:szCs w:val="22"/>
          <w:lang w:val="en-GB"/>
        </w:rPr>
        <w:t>4</w:t>
      </w:r>
      <w:r w:rsidR="00D37D21" w:rsidRPr="0011194E">
        <w:rPr>
          <w:rFonts w:ascii="Arial" w:hAnsi="Arial" w:cs="Arial"/>
          <w:sz w:val="22"/>
          <w:szCs w:val="22"/>
          <w:lang w:val="en-GB"/>
        </w:rPr>
        <w:t>). After this time student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lose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right to </w:t>
      </w:r>
      <w:r>
        <w:rPr>
          <w:rFonts w:ascii="Arial" w:hAnsi="Arial" w:cs="Arial"/>
          <w:sz w:val="22"/>
          <w:szCs w:val="22"/>
          <w:lang w:val="en-GB"/>
        </w:rPr>
        <w:t>get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a credit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="00D37D21" w:rsidRPr="0011194E">
        <w:rPr>
          <w:rFonts w:ascii="Arial" w:hAnsi="Arial" w:cs="Arial"/>
          <w:sz w:val="22"/>
          <w:szCs w:val="22"/>
          <w:lang w:val="en-GB"/>
        </w:rPr>
        <w:t xml:space="preserve"> the subject.</w:t>
      </w:r>
    </w:p>
    <w:p w14:paraId="4C80D32E" w14:textId="05ABDACD" w:rsidR="00A23D1D" w:rsidRPr="0011194E" w:rsidRDefault="00D37D21" w:rsidP="00A23D1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 xml:space="preserve">In aim to prepare for classes and </w:t>
      </w:r>
      <w:r w:rsidR="009435E1" w:rsidRPr="0011194E">
        <w:rPr>
          <w:rFonts w:ascii="Arial" w:hAnsi="Arial" w:cs="Arial"/>
          <w:sz w:val="22"/>
          <w:szCs w:val="22"/>
          <w:lang w:val="en-GB"/>
        </w:rPr>
        <w:t xml:space="preserve">written </w:t>
      </w:r>
      <w:r w:rsidRPr="0011194E">
        <w:rPr>
          <w:rFonts w:ascii="Arial" w:hAnsi="Arial" w:cs="Arial"/>
          <w:sz w:val="22"/>
          <w:szCs w:val="22"/>
          <w:lang w:val="en-GB"/>
        </w:rPr>
        <w:t>tests, students are allowed to use (on site) professional literature available at the Department of Toxicology. Moreov</w:t>
      </w:r>
      <w:r w:rsidR="00E24291" w:rsidRPr="0011194E">
        <w:rPr>
          <w:rFonts w:ascii="Arial" w:hAnsi="Arial" w:cs="Arial"/>
          <w:sz w:val="22"/>
          <w:szCs w:val="22"/>
          <w:lang w:val="en-GB"/>
        </w:rPr>
        <w:t>er, students can consult with a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E24291" w:rsidRPr="0011194E">
        <w:rPr>
          <w:rFonts w:ascii="Arial" w:hAnsi="Arial" w:cs="Arial"/>
          <w:sz w:val="22"/>
          <w:szCs w:val="22"/>
          <w:lang w:val="en-GB"/>
        </w:rPr>
        <w:t>teacher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</w:t>
      </w:r>
      <w:r w:rsidR="007A3D7C">
        <w:rPr>
          <w:rFonts w:ascii="Arial" w:hAnsi="Arial" w:cs="Arial"/>
          <w:sz w:val="22"/>
          <w:szCs w:val="22"/>
          <w:lang w:val="en-GB"/>
        </w:rPr>
        <w:t>outside</w:t>
      </w:r>
      <w:r w:rsidRPr="0011194E">
        <w:rPr>
          <w:rFonts w:ascii="Arial" w:hAnsi="Arial" w:cs="Arial"/>
          <w:sz w:val="22"/>
          <w:szCs w:val="22"/>
          <w:lang w:val="en-GB"/>
        </w:rPr>
        <w:t xml:space="preserve"> of didactic hours. Consulting hours are established in agreement with the chairman of the year.</w:t>
      </w:r>
    </w:p>
    <w:p w14:paraId="053268C7" w14:textId="77777777" w:rsidR="00D37D21" w:rsidRPr="0011194E" w:rsidRDefault="005E6888" w:rsidP="00A23D1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>The above r</w:t>
      </w:r>
      <w:r w:rsidR="009D2CF3"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 xml:space="preserve">egulations are consistent with the Regulations of First Degree, Second Degree and Uniform Master's Studies at the Medical University of Bialystok. In </w:t>
      </w:r>
      <w:r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>matters not specified in these r</w:t>
      </w:r>
      <w:r w:rsidR="009D2CF3"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>egulations, the Regulations of First Degree, Second Deg</w:t>
      </w:r>
      <w:r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 xml:space="preserve">ree and Uniform Master's </w:t>
      </w:r>
      <w:r w:rsidR="009D2CF3"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 xml:space="preserve">Studies </w:t>
      </w:r>
      <w:r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 xml:space="preserve">at the Medical University of Bialystok </w:t>
      </w:r>
      <w:r w:rsidR="009D2CF3"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>shall apply</w:t>
      </w:r>
      <w:r w:rsidRPr="0011194E">
        <w:rPr>
          <w:rStyle w:val="tlid-translation"/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79EA3E55" w14:textId="77777777" w:rsidR="00D37D21" w:rsidRPr="0011194E" w:rsidRDefault="00D37D21" w:rsidP="00C41F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11194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662AE2" w14:textId="77777777" w:rsidR="00DE4D54" w:rsidRPr="0011194E" w:rsidRDefault="00DE4D54" w:rsidP="00D37D21">
      <w:pPr>
        <w:rPr>
          <w:lang w:val="en-GB"/>
        </w:rPr>
      </w:pPr>
    </w:p>
    <w:sectPr w:rsidR="00DE4D54" w:rsidRPr="0011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FF7"/>
    <w:multiLevelType w:val="hybridMultilevel"/>
    <w:tmpl w:val="0A62BB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551284"/>
    <w:multiLevelType w:val="hybridMultilevel"/>
    <w:tmpl w:val="0A12B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180"/>
    <w:multiLevelType w:val="hybridMultilevel"/>
    <w:tmpl w:val="F0B26C98"/>
    <w:lvl w:ilvl="0" w:tplc="8896458A">
      <w:start w:val="1"/>
      <w:numFmt w:val="decimal"/>
      <w:lvlText w:val="%1."/>
      <w:lvlJc w:val="left"/>
      <w:pPr>
        <w:ind w:left="1069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C4513"/>
    <w:multiLevelType w:val="hybridMultilevel"/>
    <w:tmpl w:val="3AA8A686"/>
    <w:lvl w:ilvl="0" w:tplc="6CBA73B4">
      <w:numFmt w:val="bullet"/>
      <w:lvlText w:val="-"/>
      <w:lvlJc w:val="left"/>
      <w:pPr>
        <w:ind w:left="305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4D1A1C4C"/>
    <w:multiLevelType w:val="hybridMultilevel"/>
    <w:tmpl w:val="B2109CEC"/>
    <w:lvl w:ilvl="0" w:tplc="C6C88B90">
      <w:start w:val="1"/>
      <w:numFmt w:val="decimal"/>
      <w:lvlText w:val="%1."/>
      <w:lvlJc w:val="left"/>
      <w:pPr>
        <w:tabs>
          <w:tab w:val="num" w:pos="9073"/>
        </w:tabs>
        <w:ind w:left="930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13"/>
        </w:tabs>
        <w:ind w:left="10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33"/>
        </w:tabs>
        <w:ind w:left="1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953"/>
        </w:tabs>
        <w:ind w:left="1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73"/>
        </w:tabs>
        <w:ind w:left="1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393"/>
        </w:tabs>
        <w:ind w:left="1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113"/>
        </w:tabs>
        <w:ind w:left="1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833"/>
        </w:tabs>
        <w:ind w:left="1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553"/>
        </w:tabs>
        <w:ind w:left="15553" w:hanging="180"/>
      </w:pPr>
    </w:lvl>
  </w:abstractNum>
  <w:abstractNum w:abstractNumId="5" w15:restartNumberingAfterBreak="0">
    <w:nsid w:val="61287F6D"/>
    <w:multiLevelType w:val="hybridMultilevel"/>
    <w:tmpl w:val="598240E0"/>
    <w:lvl w:ilvl="0" w:tplc="D9E6EE34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63EDC"/>
    <w:multiLevelType w:val="hybridMultilevel"/>
    <w:tmpl w:val="E1F650BE"/>
    <w:lvl w:ilvl="0" w:tplc="F5A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316C8C"/>
    <w:multiLevelType w:val="hybridMultilevel"/>
    <w:tmpl w:val="2F2880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FB0402"/>
    <w:multiLevelType w:val="hybridMultilevel"/>
    <w:tmpl w:val="4FE20652"/>
    <w:lvl w:ilvl="0" w:tplc="77C068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1"/>
    <w:rsid w:val="00001B98"/>
    <w:rsid w:val="000B116D"/>
    <w:rsid w:val="000C4B0B"/>
    <w:rsid w:val="0011194E"/>
    <w:rsid w:val="00177ED7"/>
    <w:rsid w:val="00192F90"/>
    <w:rsid w:val="002045C9"/>
    <w:rsid w:val="00240F51"/>
    <w:rsid w:val="002749F3"/>
    <w:rsid w:val="002B79C6"/>
    <w:rsid w:val="002C06A5"/>
    <w:rsid w:val="002E37C3"/>
    <w:rsid w:val="003108F5"/>
    <w:rsid w:val="00363CCC"/>
    <w:rsid w:val="00370DE9"/>
    <w:rsid w:val="003A5F00"/>
    <w:rsid w:val="003F38F6"/>
    <w:rsid w:val="003F6056"/>
    <w:rsid w:val="004416EC"/>
    <w:rsid w:val="00455B09"/>
    <w:rsid w:val="00477B5F"/>
    <w:rsid w:val="004E4399"/>
    <w:rsid w:val="00507052"/>
    <w:rsid w:val="00517DB2"/>
    <w:rsid w:val="005B6699"/>
    <w:rsid w:val="005D54D9"/>
    <w:rsid w:val="005E6888"/>
    <w:rsid w:val="005F780C"/>
    <w:rsid w:val="00600D5E"/>
    <w:rsid w:val="00614E64"/>
    <w:rsid w:val="00625823"/>
    <w:rsid w:val="0063680F"/>
    <w:rsid w:val="006428B9"/>
    <w:rsid w:val="006839AE"/>
    <w:rsid w:val="0068539C"/>
    <w:rsid w:val="006878E4"/>
    <w:rsid w:val="006C5F29"/>
    <w:rsid w:val="006D27B2"/>
    <w:rsid w:val="00751D71"/>
    <w:rsid w:val="007854EB"/>
    <w:rsid w:val="00790637"/>
    <w:rsid w:val="007A3D7C"/>
    <w:rsid w:val="00812E4E"/>
    <w:rsid w:val="008901A0"/>
    <w:rsid w:val="008D4743"/>
    <w:rsid w:val="008E2EEF"/>
    <w:rsid w:val="009435E1"/>
    <w:rsid w:val="00957E74"/>
    <w:rsid w:val="00960837"/>
    <w:rsid w:val="009715C8"/>
    <w:rsid w:val="00977F0D"/>
    <w:rsid w:val="00985C29"/>
    <w:rsid w:val="009914BA"/>
    <w:rsid w:val="009B20E2"/>
    <w:rsid w:val="009B3E54"/>
    <w:rsid w:val="009B5B61"/>
    <w:rsid w:val="009D2CF3"/>
    <w:rsid w:val="009E2763"/>
    <w:rsid w:val="00A23D1D"/>
    <w:rsid w:val="00A61803"/>
    <w:rsid w:val="00AB77DF"/>
    <w:rsid w:val="00AC166D"/>
    <w:rsid w:val="00AF5B74"/>
    <w:rsid w:val="00B073C7"/>
    <w:rsid w:val="00B533B0"/>
    <w:rsid w:val="00B73CE8"/>
    <w:rsid w:val="00B8700C"/>
    <w:rsid w:val="00BF37CB"/>
    <w:rsid w:val="00C17806"/>
    <w:rsid w:val="00C40D33"/>
    <w:rsid w:val="00C41FF6"/>
    <w:rsid w:val="00C76895"/>
    <w:rsid w:val="00C829A8"/>
    <w:rsid w:val="00C850D4"/>
    <w:rsid w:val="00CA5A20"/>
    <w:rsid w:val="00CD3099"/>
    <w:rsid w:val="00D064A5"/>
    <w:rsid w:val="00D151A0"/>
    <w:rsid w:val="00D37D21"/>
    <w:rsid w:val="00D4314C"/>
    <w:rsid w:val="00D77E1C"/>
    <w:rsid w:val="00DA6EDE"/>
    <w:rsid w:val="00DC2F78"/>
    <w:rsid w:val="00DD61D2"/>
    <w:rsid w:val="00DE4D54"/>
    <w:rsid w:val="00DF128C"/>
    <w:rsid w:val="00E029D4"/>
    <w:rsid w:val="00E13BD5"/>
    <w:rsid w:val="00E13E60"/>
    <w:rsid w:val="00E24291"/>
    <w:rsid w:val="00E34BB0"/>
    <w:rsid w:val="00E82583"/>
    <w:rsid w:val="00E86245"/>
    <w:rsid w:val="00EA04E5"/>
    <w:rsid w:val="00EB600A"/>
    <w:rsid w:val="00EE30B4"/>
    <w:rsid w:val="00EF134C"/>
    <w:rsid w:val="00F3699E"/>
    <w:rsid w:val="00F402C8"/>
    <w:rsid w:val="00F66B28"/>
    <w:rsid w:val="00FC515E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17D5"/>
  <w15:docId w15:val="{7030FA8E-BA7E-4BE8-86A8-D14971E2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37D21"/>
    <w:rPr>
      <w:b/>
      <w:bCs/>
    </w:rPr>
  </w:style>
  <w:style w:type="paragraph" w:styleId="Akapitzlist">
    <w:name w:val="List Paragraph"/>
    <w:basedOn w:val="Normalny"/>
    <w:uiPriority w:val="34"/>
    <w:qFormat/>
    <w:rsid w:val="005B6699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455B09"/>
  </w:style>
  <w:style w:type="character" w:styleId="Hipercze">
    <w:name w:val="Hyperlink"/>
    <w:basedOn w:val="Domylnaczcionkaakapitu"/>
    <w:uiPriority w:val="99"/>
    <w:unhideWhenUsed/>
    <w:rsid w:val="00F402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5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8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bedu.blackbo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08C2-6FAD-4A6F-83EE-F32CE682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Użytkownik systemu Windows</cp:lastModifiedBy>
  <cp:revision>9</cp:revision>
  <dcterms:created xsi:type="dcterms:W3CDTF">2024-02-11T23:06:00Z</dcterms:created>
  <dcterms:modified xsi:type="dcterms:W3CDTF">2024-04-10T06:28:00Z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12356ad9f8cefe855bcab83175f7681fdb63e6f001d78ffbff1c99b48eb3cf2e</vt:lpwstr>
  </property>
</Properties>
</file>