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F2A" w:rsidRDefault="00403F2A" w:rsidP="00403F2A">
      <w:pPr>
        <w:spacing w:before="200" w:after="0" w:line="216" w:lineRule="auto"/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u w:val="single"/>
          <w:lang w:eastAsia="pl-PL"/>
        </w:rPr>
      </w:pPr>
      <w:r w:rsidRPr="00403F2A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u w:val="single"/>
          <w:lang w:eastAsia="pl-PL"/>
        </w:rPr>
        <w:t>Przykłady badań materiału biologicznego (próbek biologicznych) stanowiące eksperyment medyczny i wymagające opinii Komisji Bioetycznej, ale nie wymagające ubezpieczenia OC:</w:t>
      </w:r>
    </w:p>
    <w:p w:rsidR="00403F2A" w:rsidRPr="00403F2A" w:rsidRDefault="00403F2A" w:rsidP="00403F2A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F2A" w:rsidRPr="00403F2A" w:rsidRDefault="00403F2A" w:rsidP="00403F2A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403F2A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pl-PL"/>
        </w:rPr>
        <w:t>Wykorzystanie możliwych do zidentyfikowania próbek biologicznych</w:t>
      </w:r>
      <w:r w:rsidRPr="00403F2A">
        <w:rPr>
          <w:rFonts w:eastAsiaTheme="minorEastAsia" w:hAnsi="Calibri"/>
          <w:color w:val="000000" w:themeColor="text1"/>
          <w:kern w:val="24"/>
          <w:sz w:val="26"/>
          <w:szCs w:val="26"/>
          <w:lang w:eastAsia="pl-PL"/>
        </w:rPr>
        <w:t xml:space="preserve"> </w:t>
      </w:r>
    </w:p>
    <w:p w:rsidR="00403F2A" w:rsidRPr="00403F2A" w:rsidRDefault="00403F2A" w:rsidP="00403F2A">
      <w:pPr>
        <w:numPr>
          <w:ilvl w:val="1"/>
          <w:numId w:val="1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403F2A">
        <w:rPr>
          <w:rFonts w:eastAsiaTheme="minorEastAsia" w:hAnsi="Calibri"/>
          <w:color w:val="000000" w:themeColor="text1"/>
          <w:kern w:val="24"/>
          <w:sz w:val="26"/>
          <w:szCs w:val="26"/>
          <w:lang w:eastAsia="pl-PL"/>
        </w:rPr>
        <w:t>Przykład: pobieranie próbek tkanek wraz z identyfikatorami w ramach standardowej opieki szpitalnej/laboratoryjnej;</w:t>
      </w:r>
    </w:p>
    <w:p w:rsidR="00403F2A" w:rsidRPr="00403F2A" w:rsidRDefault="00403F2A" w:rsidP="00403F2A">
      <w:p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403F2A" w:rsidRPr="00403F2A" w:rsidRDefault="00403F2A" w:rsidP="00403F2A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403F2A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pl-PL"/>
        </w:rPr>
        <w:t>Wykorzystanie zakodowanych próbek biologicznych, gdy badacz ma dostęp do kodu, który pozwoliłby na powiązanie materiału z możliwymi do zidentyfikowania informacjami</w:t>
      </w:r>
      <w:r w:rsidRPr="00403F2A">
        <w:rPr>
          <w:rFonts w:eastAsiaTheme="minorEastAsia" w:hAnsi="Calibri"/>
          <w:color w:val="000000" w:themeColor="text1"/>
          <w:kern w:val="24"/>
          <w:sz w:val="26"/>
          <w:szCs w:val="26"/>
          <w:lang w:eastAsia="pl-PL"/>
        </w:rPr>
        <w:t xml:space="preserve"> </w:t>
      </w:r>
    </w:p>
    <w:p w:rsidR="00403F2A" w:rsidRPr="00403F2A" w:rsidRDefault="00403F2A" w:rsidP="00403F2A">
      <w:pPr>
        <w:numPr>
          <w:ilvl w:val="1"/>
          <w:numId w:val="1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403F2A">
        <w:rPr>
          <w:rFonts w:eastAsiaTheme="minorEastAsia" w:hAnsi="Calibri"/>
          <w:color w:val="000000" w:themeColor="text1"/>
          <w:kern w:val="24"/>
          <w:sz w:val="26"/>
          <w:szCs w:val="26"/>
          <w:lang w:eastAsia="pl-PL"/>
        </w:rPr>
        <w:t>Przykład: próbki są pozyskane od Partnera w projekcie, który posiada dane osobowe uczestników badania oraz kod szyfrujący;</w:t>
      </w:r>
    </w:p>
    <w:p w:rsidR="00403F2A" w:rsidRPr="00403F2A" w:rsidRDefault="00403F2A" w:rsidP="00403F2A">
      <w:p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403F2A" w:rsidRPr="00403F2A" w:rsidRDefault="00403F2A" w:rsidP="00403F2A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403F2A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pl-PL"/>
        </w:rPr>
        <w:t>Wykorzystanie zanonimizowanych lub zakodowanych próbek biologicznych w projekcie, który wygeneruje lub zbierze dane, które zostaną lub mogą zostać wykorzystane w badaniu klinicznym</w:t>
      </w:r>
      <w:r w:rsidRPr="00403F2A">
        <w:rPr>
          <w:rFonts w:eastAsiaTheme="minorEastAsia" w:hAnsi="Calibri"/>
          <w:color w:val="000000" w:themeColor="text1"/>
          <w:kern w:val="24"/>
          <w:sz w:val="26"/>
          <w:szCs w:val="26"/>
          <w:lang w:eastAsia="pl-PL"/>
        </w:rPr>
        <w:t xml:space="preserve"> </w:t>
      </w:r>
    </w:p>
    <w:p w:rsidR="00403F2A" w:rsidRPr="00403F2A" w:rsidRDefault="00403F2A" w:rsidP="00403F2A">
      <w:pPr>
        <w:numPr>
          <w:ilvl w:val="1"/>
          <w:numId w:val="1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403F2A">
        <w:rPr>
          <w:rFonts w:eastAsiaTheme="minorEastAsia" w:hAnsi="Calibri"/>
          <w:color w:val="000000" w:themeColor="text1"/>
          <w:kern w:val="24"/>
          <w:sz w:val="26"/>
          <w:szCs w:val="26"/>
          <w:lang w:eastAsia="pl-PL"/>
        </w:rPr>
        <w:t>Przykład: testowanie skuteczności wyrobu diagnostycznego do celów diagnostyki klinicznej przy użyciu zanonimizowanych próbek pobranych w ramach standardowej opieki medycznej</w:t>
      </w: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pl-PL"/>
        </w:rPr>
        <w:t>;</w:t>
      </w:r>
    </w:p>
    <w:p w:rsidR="00403F2A" w:rsidRPr="00403F2A" w:rsidRDefault="00403F2A" w:rsidP="00403F2A">
      <w:p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403F2A" w:rsidRPr="00403F2A" w:rsidRDefault="00403F2A" w:rsidP="00403F2A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403F2A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pl-PL"/>
        </w:rPr>
        <w:t>Wykorzystanie niemożliwych do zidentyfikowania próbek biologicznych</w:t>
      </w:r>
      <w:r w:rsidRPr="00403F2A">
        <w:rPr>
          <w:rFonts w:eastAsiaTheme="minorEastAsia" w:hAnsi="Calibri"/>
          <w:color w:val="000000" w:themeColor="text1"/>
          <w:kern w:val="24"/>
          <w:sz w:val="26"/>
          <w:szCs w:val="26"/>
          <w:lang w:eastAsia="pl-PL"/>
        </w:rPr>
        <w:t xml:space="preserve"> </w:t>
      </w:r>
    </w:p>
    <w:p w:rsidR="00403F2A" w:rsidRPr="00403F2A" w:rsidRDefault="00403F2A" w:rsidP="00403F2A">
      <w:pPr>
        <w:numPr>
          <w:ilvl w:val="1"/>
          <w:numId w:val="1"/>
        </w:num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403F2A">
        <w:rPr>
          <w:rFonts w:eastAsiaTheme="minorEastAsia" w:hAnsi="Calibri"/>
          <w:color w:val="000000" w:themeColor="text1"/>
          <w:kern w:val="24"/>
          <w:sz w:val="26"/>
          <w:szCs w:val="26"/>
          <w:lang w:eastAsia="pl-PL"/>
        </w:rPr>
        <w:t>Przykład: włosy pozyskane z zakładów fryzjerskich, zęby pozyskane od stomatologów z praktyki dentystycznej.</w:t>
      </w:r>
    </w:p>
    <w:p w:rsidR="00403F2A" w:rsidRPr="00403F2A" w:rsidRDefault="00403F2A" w:rsidP="00403F2A">
      <w:pPr>
        <w:spacing w:after="0" w:line="216" w:lineRule="auto"/>
        <w:ind w:left="2520"/>
        <w:contextualSpacing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bookmarkStart w:id="0" w:name="_GoBack"/>
      <w:bookmarkEnd w:id="0"/>
    </w:p>
    <w:p w:rsidR="00770371" w:rsidRDefault="00403F2A" w:rsidP="00403F2A">
      <w:pPr>
        <w:jc w:val="both"/>
      </w:pPr>
      <w:r w:rsidRPr="00403F2A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pl-PL"/>
        </w:rPr>
        <w:t xml:space="preserve">UWAGA! </w:t>
      </w:r>
      <w:r w:rsidRPr="00403F2A">
        <w:rPr>
          <w:rFonts w:ascii="Calibri" w:eastAsia="Calibri" w:hAnsi="Calibri" w:cs="Times New Roman"/>
          <w:color w:val="000000"/>
          <w:kern w:val="24"/>
          <w:sz w:val="24"/>
          <w:szCs w:val="24"/>
          <w:lang w:eastAsia="pl-PL"/>
        </w:rPr>
        <w:t xml:space="preserve">W celu właściwej realizacji przepisów Rozporządzenia Parlamentu Europejskiego i Rady (UE) 2016/679 z dnia 27 kwietnia 2016 r. w sprawie ochrony osób fizycznych w związku z przetwarzaniem danych osobowych i w sprawie swobodnego przepływu takich danych oraz uchylenia dyrektywy 95/46/WE (tzw. ogólne rozporządzenie o ochronie danych, zwanego dalej RODO) obecnie nie istnieje pojęcie </w:t>
      </w:r>
      <w:r w:rsidRPr="00403F2A">
        <w:rPr>
          <w:rFonts w:ascii="Calibri" w:eastAsia="Calibri" w:hAnsi="Calibri" w:cs="Times New Roman"/>
          <w:b/>
          <w:bCs/>
          <w:color w:val="000000"/>
          <w:kern w:val="24"/>
          <w:sz w:val="24"/>
          <w:szCs w:val="24"/>
          <w:u w:val="single"/>
          <w:lang w:eastAsia="pl-PL"/>
        </w:rPr>
        <w:t>odpadu medycznego</w:t>
      </w:r>
      <w:r w:rsidRPr="00403F2A">
        <w:rPr>
          <w:rFonts w:ascii="Calibri" w:eastAsia="Calibri" w:hAnsi="Calibri" w:cs="Times New Roman"/>
          <w:color w:val="000000"/>
          <w:kern w:val="24"/>
          <w:sz w:val="24"/>
          <w:szCs w:val="24"/>
          <w:lang w:eastAsia="pl-PL"/>
        </w:rPr>
        <w:t xml:space="preserve"> w przypadku badań na materiale biologicznym. Chcąc wykorzystać do swoich badań ten rodzaj materiału biologicznego każdorazowo należy uzyskać indywidualną zgodę osoby na wykorzystanie pochodzącego od niego materiału biologicznego do badań.</w:t>
      </w:r>
    </w:p>
    <w:sectPr w:rsidR="00770371" w:rsidSect="00403F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A56"/>
    <w:multiLevelType w:val="hybridMultilevel"/>
    <w:tmpl w:val="8070F144"/>
    <w:lvl w:ilvl="0" w:tplc="4E06C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267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F4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84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6B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45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C8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63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26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2A"/>
    <w:rsid w:val="00403F2A"/>
    <w:rsid w:val="007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418C"/>
  <w15:chartTrackingRefBased/>
  <w15:docId w15:val="{02EE90C1-CEB0-47E1-A7FA-057F31EF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3F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4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5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</cp:revision>
  <dcterms:created xsi:type="dcterms:W3CDTF">2024-08-20T09:54:00Z</dcterms:created>
  <dcterms:modified xsi:type="dcterms:W3CDTF">2024-08-20T09:57:00Z</dcterms:modified>
</cp:coreProperties>
</file>